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16EF5">
      <w:pPr>
        <w:pStyle w:val="1"/>
      </w:pPr>
      <w:hyperlink r:id="rId7" w:history="1">
        <w:r>
          <w:rPr>
            <w:rStyle w:val="a4"/>
            <w:b w:val="0"/>
            <w:bCs w:val="0"/>
          </w:rPr>
          <w:t>Приказ Федеральной службы по экологическому, технологическому и ат</w:t>
        </w:r>
        <w:r>
          <w:rPr>
            <w:rStyle w:val="a4"/>
            <w:b w:val="0"/>
            <w:bCs w:val="0"/>
          </w:rPr>
          <w:t>омному надзору от 22 декабря 2021 г. N 450 "Об утверждении Руководства по безопасности факельных систем"</w:t>
        </w:r>
      </w:hyperlink>
    </w:p>
    <w:p w:rsidR="00000000" w:rsidRDefault="00616EF5"/>
    <w:p w:rsidR="00000000" w:rsidRDefault="00616EF5">
      <w:r>
        <w:t xml:space="preserve">В соответствии с </w:t>
      </w:r>
      <w:hyperlink r:id="rId8" w:history="1">
        <w:r>
          <w:rPr>
            <w:rStyle w:val="a4"/>
          </w:rPr>
          <w:t>пунктом 5 статьи 3</w:t>
        </w:r>
      </w:hyperlink>
      <w:r>
        <w:t xml:space="preserve"> Федерального закона от 21 июля 1997 г. </w:t>
      </w:r>
      <w:r>
        <w:t>N 116-ФЗ "О промышленной безопасности опасных производственных объектов" приказываю:</w:t>
      </w:r>
    </w:p>
    <w:p w:rsidR="00000000" w:rsidRDefault="00616EF5">
      <w:bookmarkStart w:id="0" w:name="sub_1"/>
      <w:r>
        <w:t xml:space="preserve">1. Утвердить прилагаемое </w:t>
      </w:r>
      <w:hyperlink w:anchor="sub_1000" w:history="1">
        <w:r>
          <w:rPr>
            <w:rStyle w:val="a4"/>
          </w:rPr>
          <w:t>Руководство</w:t>
        </w:r>
      </w:hyperlink>
      <w:r>
        <w:t xml:space="preserve"> по безопасности факельных систем.</w:t>
      </w:r>
    </w:p>
    <w:p w:rsidR="00000000" w:rsidRDefault="00616EF5">
      <w:bookmarkStart w:id="1" w:name="sub_2"/>
      <w:bookmarkEnd w:id="0"/>
      <w:r>
        <w:t xml:space="preserve">2. Признать утратившим силу </w:t>
      </w:r>
      <w:hyperlink r:id="rId9" w:history="1">
        <w:r>
          <w:rPr>
            <w:rStyle w:val="a4"/>
          </w:rPr>
          <w:t>приказ</w:t>
        </w:r>
      </w:hyperlink>
      <w:r>
        <w:t xml:space="preserve"> Федеральной службы по экологическому, технологическому и атомному надзору от 26 декабря 2012 г. N 779 "Об утверждении Руководства по безопасности факель</w:t>
      </w:r>
      <w:bookmarkStart w:id="2" w:name="_GoBack"/>
      <w:bookmarkEnd w:id="2"/>
      <w:r>
        <w:t>ных систем".</w:t>
      </w:r>
    </w:p>
    <w:bookmarkEnd w:id="1"/>
    <w:p w:rsidR="00000000" w:rsidRDefault="00616EF5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616EF5">
            <w:pPr>
              <w:pStyle w:val="a9"/>
            </w:pPr>
            <w:r>
              <w:t>Руководитель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616EF5">
            <w:pPr>
              <w:pStyle w:val="a7"/>
              <w:jc w:val="right"/>
            </w:pPr>
            <w:r>
              <w:t>А.В. Трембицкий</w:t>
            </w:r>
          </w:p>
        </w:tc>
      </w:tr>
    </w:tbl>
    <w:p w:rsidR="00000000" w:rsidRDefault="00616EF5"/>
    <w:p w:rsidR="00000000" w:rsidRDefault="00616EF5">
      <w:pPr>
        <w:ind w:firstLine="698"/>
        <w:jc w:val="right"/>
      </w:pPr>
      <w:bookmarkStart w:id="3" w:name="sub_1000"/>
      <w:r>
        <w:rPr>
          <w:rStyle w:val="a3"/>
        </w:rPr>
        <w:t>Утверждено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Федеральной службы</w:t>
      </w:r>
      <w:r>
        <w:rPr>
          <w:rStyle w:val="a3"/>
        </w:rPr>
        <w:br/>
        <w:t>по экологическому, технологическому</w:t>
      </w:r>
      <w:r>
        <w:rPr>
          <w:rStyle w:val="a3"/>
        </w:rPr>
        <w:br/>
        <w:t>и атомному надзору</w:t>
      </w:r>
      <w:r>
        <w:rPr>
          <w:rStyle w:val="a3"/>
        </w:rPr>
        <w:br/>
        <w:t>от 22 декабря 2021 г. N 450</w:t>
      </w:r>
    </w:p>
    <w:bookmarkEnd w:id="3"/>
    <w:p w:rsidR="00000000" w:rsidRDefault="00616EF5"/>
    <w:p w:rsidR="00000000" w:rsidRDefault="00616EF5">
      <w:pPr>
        <w:pStyle w:val="1"/>
      </w:pPr>
      <w:r>
        <w:t xml:space="preserve">Руководство </w:t>
      </w:r>
      <w:r>
        <w:br/>
        <w:t>по безопасности факельных систем</w:t>
      </w:r>
    </w:p>
    <w:p w:rsidR="00000000" w:rsidRDefault="00616EF5"/>
    <w:p w:rsidR="00000000" w:rsidRDefault="00616EF5">
      <w:pPr>
        <w:pStyle w:val="1"/>
      </w:pPr>
      <w:bookmarkStart w:id="4" w:name="sub_10100"/>
      <w:r>
        <w:t>1. Общие положения</w:t>
      </w:r>
    </w:p>
    <w:bookmarkEnd w:id="4"/>
    <w:p w:rsidR="00000000" w:rsidRDefault="00616EF5"/>
    <w:p w:rsidR="00000000" w:rsidRDefault="00616EF5">
      <w:bookmarkStart w:id="5" w:name="sub_1001"/>
      <w:r>
        <w:t>1. Руково</w:t>
      </w:r>
      <w:r>
        <w:t>дство по безопасности факельных систем (далее - Руководство) разработано в целях содействия соблюдению федеральных норм и правил в области промышленной безопасности: "</w:t>
      </w:r>
      <w:hyperlink r:id="rId10" w:history="1">
        <w:r>
          <w:rPr>
            <w:rStyle w:val="a4"/>
          </w:rPr>
          <w:t>Общие правила</w:t>
        </w:r>
      </w:hyperlink>
      <w:r>
        <w:t xml:space="preserve"> в</w:t>
      </w:r>
      <w:r>
        <w:t xml:space="preserve">зрывобезопасности для взрывопожароопасных химических, нефтехимических и нефтеперерабатывающих производств", утвержденные </w:t>
      </w:r>
      <w:hyperlink r:id="rId11" w:history="1">
        <w:r>
          <w:rPr>
            <w:rStyle w:val="a4"/>
          </w:rPr>
          <w:t>приказом</w:t>
        </w:r>
      </w:hyperlink>
      <w:r>
        <w:t xml:space="preserve"> Ростехнадзора от 15 декабря 2020 г. N 533, зарегистриро</w:t>
      </w:r>
      <w:r>
        <w:t>ванным Минюстом России 25 декабря 2020 г. N 61808, "</w:t>
      </w:r>
      <w:hyperlink r:id="rId12" w:history="1">
        <w:r>
          <w:rPr>
            <w:rStyle w:val="a4"/>
          </w:rPr>
          <w:t>Правила</w:t>
        </w:r>
      </w:hyperlink>
      <w:r>
        <w:t xml:space="preserve"> безопасности объектов сжиженного природного газа", утвержденные </w:t>
      </w:r>
      <w:hyperlink r:id="rId13" w:history="1">
        <w:r>
          <w:rPr>
            <w:rStyle w:val="a4"/>
          </w:rPr>
          <w:t>приказом</w:t>
        </w:r>
      </w:hyperlink>
      <w:r>
        <w:t xml:space="preserve"> Ростехнадзора от 11 декабря 2020 г. N 521, зарегистрированным Минюстом России 21 декабря 2020 г. N 61629, "</w:t>
      </w:r>
      <w:hyperlink r:id="rId14" w:history="1">
        <w:r>
          <w:rPr>
            <w:rStyle w:val="a4"/>
          </w:rPr>
          <w:t>Правила</w:t>
        </w:r>
      </w:hyperlink>
      <w:r>
        <w:t xml:space="preserve"> безопасности в нефтяной и газовой промышленност</w:t>
      </w:r>
      <w:r>
        <w:t xml:space="preserve">и", утвержденные </w:t>
      </w:r>
      <w:hyperlink r:id="rId15" w:history="1">
        <w:r>
          <w:rPr>
            <w:rStyle w:val="a4"/>
          </w:rPr>
          <w:t>приказом</w:t>
        </w:r>
      </w:hyperlink>
      <w:r>
        <w:t xml:space="preserve"> Ростехнадзора от 15 декабря 2020 г. N 534, зарегистрированным Минюстом России 29 декабря 2020 г. N 61888, и "</w:t>
      </w:r>
      <w:hyperlink r:id="rId16" w:history="1">
        <w:r>
          <w:rPr>
            <w:rStyle w:val="a4"/>
          </w:rPr>
          <w:t>Правила</w:t>
        </w:r>
      </w:hyperlink>
      <w:r>
        <w:t xml:space="preserve"> безопасности для опасных производственных объектов магистральных трубопроводов", утвержденные </w:t>
      </w:r>
      <w:hyperlink r:id="rId17" w:history="1">
        <w:r>
          <w:rPr>
            <w:rStyle w:val="a4"/>
          </w:rPr>
          <w:t>приказом</w:t>
        </w:r>
      </w:hyperlink>
      <w:r>
        <w:t xml:space="preserve"> Ростехнадзора от 11 декабря 2020 г. N 517, зарегис</w:t>
      </w:r>
      <w:r>
        <w:t>трированным Минюстом России 23 декабря 2020 г. N 61745.</w:t>
      </w:r>
    </w:p>
    <w:p w:rsidR="00000000" w:rsidRDefault="00616EF5">
      <w:bookmarkStart w:id="6" w:name="sub_1002"/>
      <w:bookmarkEnd w:id="5"/>
      <w:r>
        <w:t>2. Руководство содержит пояснения и рекомендации по соблюдению обязательных требований в области промышленной безопасности при проектировании, строительстве, эксплуатации, реконструкци</w:t>
      </w:r>
      <w:r>
        <w:t xml:space="preserve">и, техническом перевооружении, консервации и ликвидации </w:t>
      </w:r>
      <w:hyperlink w:anchor="sub_11025" w:history="1">
        <w:r>
          <w:rPr>
            <w:rStyle w:val="a4"/>
          </w:rPr>
          <w:t>факельных систем</w:t>
        </w:r>
      </w:hyperlink>
      <w:r>
        <w:t>, проведении экспертизы промышленной безопасности и не является нормативным правовым актом.</w:t>
      </w:r>
    </w:p>
    <w:p w:rsidR="00000000" w:rsidRDefault="00616EF5">
      <w:bookmarkStart w:id="7" w:name="sub_1003"/>
      <w:bookmarkEnd w:id="6"/>
      <w:r>
        <w:t>3. В целях содействия соблюдению федеральных норм</w:t>
      </w:r>
      <w:r>
        <w:t xml:space="preserve"> и правил в области промышленной безопасности организации, осуществляющие деятельность по проектированию, строительству, эксплуатации, расширению, реконструкции, техническому перевооружению, консервации и ликвидации факельных систем, могут использовать ины</w:t>
      </w:r>
      <w:r>
        <w:t>е способы и методы, чем те, которые указаны в настоящем Руководстве.</w:t>
      </w:r>
    </w:p>
    <w:p w:rsidR="00000000" w:rsidRDefault="00616EF5">
      <w:bookmarkStart w:id="8" w:name="sub_1004"/>
      <w:bookmarkEnd w:id="7"/>
      <w:r>
        <w:t xml:space="preserve">4. Руководство распространяется на опасные производственные объекты, на которых добываются, получаются, используются, перерабатываются, образуются, хранятся, </w:t>
      </w:r>
      <w:r>
        <w:lastRenderedPageBreak/>
        <w:t>транспортирую</w:t>
      </w:r>
      <w:r>
        <w:t>тся, уничтожаются воспламеняющиеся и горючие вещества.</w:t>
      </w:r>
    </w:p>
    <w:p w:rsidR="00000000" w:rsidRDefault="00616EF5">
      <w:bookmarkStart w:id="9" w:name="sub_1005"/>
      <w:bookmarkEnd w:id="8"/>
      <w:r>
        <w:t>5. Руководство не распространяется на факельные системы, используемые на морских (плавучих или стационарных) платформах различного назначения (буровых, добывающих, в том числе осуществл</w:t>
      </w:r>
      <w:r>
        <w:t>яющих предварительные подготовку и переработку продукции скважин), на которых осуществляется одновременное проживание (постоянное или временное) персонала.</w:t>
      </w:r>
    </w:p>
    <w:p w:rsidR="00000000" w:rsidRDefault="00616EF5">
      <w:bookmarkStart w:id="10" w:name="sub_1006"/>
      <w:bookmarkEnd w:id="9"/>
      <w:r>
        <w:t xml:space="preserve">6. Термины и определения, используемые в Руководстве, приведены в </w:t>
      </w:r>
      <w:hyperlink w:anchor="sub_11000" w:history="1">
        <w:r>
          <w:rPr>
            <w:rStyle w:val="a4"/>
          </w:rPr>
          <w:t>приложении N 1</w:t>
        </w:r>
      </w:hyperlink>
      <w:r>
        <w:t>.</w:t>
      </w:r>
    </w:p>
    <w:bookmarkEnd w:id="10"/>
    <w:p w:rsidR="00000000" w:rsidRDefault="00616EF5"/>
    <w:p w:rsidR="00000000" w:rsidRDefault="00616EF5">
      <w:pPr>
        <w:pStyle w:val="1"/>
      </w:pPr>
      <w:bookmarkStart w:id="11" w:name="sub_10200"/>
      <w:r>
        <w:t>2. Виды факельных систем и факельных установок</w:t>
      </w:r>
    </w:p>
    <w:bookmarkEnd w:id="11"/>
    <w:p w:rsidR="00000000" w:rsidRDefault="00616EF5"/>
    <w:p w:rsidR="00000000" w:rsidRDefault="00616EF5">
      <w:bookmarkStart w:id="12" w:name="sub_1007"/>
      <w:r>
        <w:t xml:space="preserve">7. Факельные системы предназначаются для обеспечения безопасности постоянных, периодических и </w:t>
      </w:r>
      <w:hyperlink w:anchor="sub_11001" w:history="1">
        <w:r>
          <w:rPr>
            <w:rStyle w:val="a4"/>
          </w:rPr>
          <w:t>аварийных сбросов</w:t>
        </w:r>
      </w:hyperlink>
      <w:r>
        <w:t xml:space="preserve"> горючих газов и паров с их последующим сжиганием.</w:t>
      </w:r>
    </w:p>
    <w:p w:rsidR="00000000" w:rsidRDefault="00616EF5">
      <w:bookmarkStart w:id="13" w:name="sub_1008"/>
      <w:bookmarkEnd w:id="12"/>
      <w:r>
        <w:t>8. По своему назначению факельные системы подразделяются на:</w:t>
      </w:r>
    </w:p>
    <w:bookmarkEnd w:id="13"/>
    <w:p w:rsidR="00000000" w:rsidRDefault="00616EF5">
      <w:r>
        <w:t>общие;</w:t>
      </w:r>
    </w:p>
    <w:p w:rsidR="00000000" w:rsidRDefault="00616EF5">
      <w:r>
        <w:t>отдельные;</w:t>
      </w:r>
    </w:p>
    <w:p w:rsidR="00000000" w:rsidRDefault="00616EF5">
      <w:r>
        <w:t>специальные.</w:t>
      </w:r>
    </w:p>
    <w:p w:rsidR="00000000" w:rsidRDefault="00616EF5">
      <w:bookmarkStart w:id="14" w:name="sub_1009"/>
      <w:r>
        <w:t xml:space="preserve">9. </w:t>
      </w:r>
      <w:hyperlink w:anchor="sub_11008" w:history="1">
        <w:r>
          <w:rPr>
            <w:rStyle w:val="a4"/>
          </w:rPr>
          <w:t>Общие факельные системы</w:t>
        </w:r>
      </w:hyperlink>
      <w:r>
        <w:t xml:space="preserve"> предназначены для приема и </w:t>
      </w:r>
      <w:r>
        <w:t>сжигания сбросов от нескольких технологических объектов (установок, резервуарных парков и пр.) при условии совместимости технологических параметров сбросов (давления, температуры, иных параметров).</w:t>
      </w:r>
    </w:p>
    <w:p w:rsidR="00000000" w:rsidRDefault="00616EF5">
      <w:bookmarkStart w:id="15" w:name="sub_1010"/>
      <w:bookmarkEnd w:id="14"/>
      <w:r>
        <w:t xml:space="preserve">10. </w:t>
      </w:r>
      <w:hyperlink w:anchor="sub_11009" w:history="1">
        <w:r>
          <w:rPr>
            <w:rStyle w:val="a4"/>
          </w:rPr>
          <w:t>Отдельная факе</w:t>
        </w:r>
        <w:r>
          <w:rPr>
            <w:rStyle w:val="a4"/>
          </w:rPr>
          <w:t>льная система</w:t>
        </w:r>
      </w:hyperlink>
      <w:r>
        <w:t xml:space="preserve"> предназначена для приема сбросов от одного технологического объекта (установки, резервуарного парка и пр.) или нескольких технологических блоков в случае несовместимости технологических параметров сбросов (давление, температура, иные парам</w:t>
      </w:r>
      <w:r>
        <w:t>етры) с параметрами сбросов, поступающих в общую факельную систему.</w:t>
      </w:r>
    </w:p>
    <w:p w:rsidR="00000000" w:rsidRDefault="00616EF5">
      <w:bookmarkStart w:id="16" w:name="sub_1011"/>
      <w:bookmarkEnd w:id="15"/>
      <w:r>
        <w:t>11. Специальные факельные системы применяются в случае, если сбросы в факельную систему могут привести к нарушению работоспособности общей факельной системы и содержат:</w:t>
      </w:r>
    </w:p>
    <w:bookmarkEnd w:id="16"/>
    <w:p w:rsidR="00000000" w:rsidRDefault="00616EF5">
      <w:r>
        <w:t>вещества, склонные к саморазложению с выделением тепла;</w:t>
      </w:r>
    </w:p>
    <w:p w:rsidR="00000000" w:rsidRDefault="00616EF5">
      <w:r>
        <w:t>полимеризующиеся и смолистые продукты, уменьшающие пропускную способность трубопроводов;</w:t>
      </w:r>
    </w:p>
    <w:p w:rsidR="00000000" w:rsidRDefault="00616EF5">
      <w:r>
        <w:t>вещества, способные вступать в реакцию с другими веществами, направляемыми в факельную систему;</w:t>
      </w:r>
    </w:p>
    <w:p w:rsidR="00000000" w:rsidRDefault="00616EF5">
      <w:r>
        <w:t>агрессивны</w:t>
      </w:r>
      <w:r>
        <w:t>е и высокотоксичные вещества;</w:t>
      </w:r>
    </w:p>
    <w:p w:rsidR="00000000" w:rsidRDefault="00616EF5">
      <w:r>
        <w:t>механические примеси;</w:t>
      </w:r>
    </w:p>
    <w:p w:rsidR="00000000" w:rsidRDefault="00616EF5">
      <w:r>
        <w:t xml:space="preserve">иные вещества со свойствами, несовместимыми со </w:t>
      </w:r>
      <w:hyperlink w:anchor="sub_11018" w:history="1">
        <w:r>
          <w:rPr>
            <w:rStyle w:val="a4"/>
          </w:rPr>
          <w:t>сбросами</w:t>
        </w:r>
      </w:hyperlink>
      <w:r>
        <w:t xml:space="preserve"> в общую факельную систему.</w:t>
      </w:r>
    </w:p>
    <w:p w:rsidR="00000000" w:rsidRDefault="00616EF5">
      <w:bookmarkStart w:id="17" w:name="sub_1012"/>
      <w:r>
        <w:t>12. В зависимости от давления газа в источнике сброса факельные системы могут быть выс</w:t>
      </w:r>
      <w:r>
        <w:t xml:space="preserve">окого или низкого давления. Разделение факельных систем по давлению определяет проектировщик исходя из условий обеспечения возможности сброса давления из оборудования, сохранения пропускной способности предохранительных устройств и безопасной эксплуатации </w:t>
      </w:r>
      <w:r>
        <w:t>факельных систем.</w:t>
      </w:r>
    </w:p>
    <w:p w:rsidR="00000000" w:rsidRDefault="00616EF5">
      <w:bookmarkStart w:id="18" w:name="sub_1013"/>
      <w:bookmarkEnd w:id="17"/>
      <w:r>
        <w:t xml:space="preserve">13. Сжигание факельных сбросов осуществляется на </w:t>
      </w:r>
      <w:hyperlink w:anchor="sub_11026" w:history="1">
        <w:r>
          <w:rPr>
            <w:rStyle w:val="a4"/>
          </w:rPr>
          <w:t>факельных установках</w:t>
        </w:r>
      </w:hyperlink>
      <w:r>
        <w:t>. По конструктивным особенностям можно выделить следующие группы факельных установок:</w:t>
      </w:r>
    </w:p>
    <w:bookmarkEnd w:id="18"/>
    <w:p w:rsidR="00000000" w:rsidRDefault="00616EF5">
      <w:r>
        <w:t xml:space="preserve">вертикальные (высотные) - предназначены для сжигания газов и паров, сбрасываемых по вертикальному </w:t>
      </w:r>
      <w:hyperlink w:anchor="sub_11034" w:history="1">
        <w:r>
          <w:rPr>
            <w:rStyle w:val="a4"/>
          </w:rPr>
          <w:t>факельному стволу</w:t>
        </w:r>
      </w:hyperlink>
      <w:r>
        <w:t>; вертикальные факельные стволы могут быть выполнены как самонесущие конструкции, крепиться растяжками или устанав</w:t>
      </w:r>
      <w:r>
        <w:t>ливаться в строительных конструкциях. При этом в одной строительной конструкции могут быть установлены факельные стволы нескольких факельных установок, в том числе различного назначения; при этом рекомендуется учитывать, что продукты сгорания не должны ока</w:t>
      </w:r>
      <w:r>
        <w:t>зывать агрессивного воздействия на технические устройства и оборудование (факельный ствол, оголовок, пилотные горелки и пр.), а также коммуникации соседних факельных установок;</w:t>
      </w:r>
    </w:p>
    <w:p w:rsidR="00000000" w:rsidRDefault="00616EF5">
      <w:r>
        <w:t>горизонтальные - предназначены для сжигания газов, паров и жидкостей с направле</w:t>
      </w:r>
      <w:r>
        <w:t xml:space="preserve">нием факела в горизонтальном направлении; как правило, в специальное сооружение ("амбар"), </w:t>
      </w:r>
      <w:r>
        <w:lastRenderedPageBreak/>
        <w:t>обеспечивающее улавливание несгоревшей жидкости, защиту от попадания ее в грунтовые воды и ограничивающее воздействие пламени на объекты, расположенные в направлении</w:t>
      </w:r>
      <w:r>
        <w:t xml:space="preserve"> факела (лес, технологические объекты, иные объекты производственного и непроизводственного назначения);</w:t>
      </w:r>
    </w:p>
    <w:p w:rsidR="00000000" w:rsidRDefault="00616EF5">
      <w:r>
        <w:t xml:space="preserve">закрытые (наземные) - позволяют снизить до минимума тепловое воздействие на окружающие объекты и уменьшить шумовое воздействие; имеют широкий диапазон </w:t>
      </w:r>
      <w:r>
        <w:t>производительности; позволяют использовать горелки с горизонтальным или вертикальным пламенем;</w:t>
      </w:r>
    </w:p>
    <w:p w:rsidR="00000000" w:rsidRDefault="00616EF5">
      <w:r>
        <w:t>многогорелочные (многостадийные) наземные - являются комбинацией вертикальных и закрытых факельных установок; используют горелки с направлением пламени вертикаль</w:t>
      </w:r>
      <w:r>
        <w:t>но вверх, позволяют снизить до минимума тепловое воздействие на окружающие объекты, дымность горения, уменьшить шумовое воздействие и имеют широкий диапазон производительности;</w:t>
      </w:r>
    </w:p>
    <w:p w:rsidR="00000000" w:rsidRDefault="00616EF5">
      <w:r>
        <w:t xml:space="preserve">упрощенные - применяются в случаях, когда </w:t>
      </w:r>
      <w:hyperlink w:anchor="sub_11010" w:history="1">
        <w:r>
          <w:rPr>
            <w:rStyle w:val="a4"/>
          </w:rPr>
          <w:t>периодические</w:t>
        </w:r>
        <w:r>
          <w:rPr>
            <w:rStyle w:val="a4"/>
          </w:rPr>
          <w:t xml:space="preserve"> сбросы</w:t>
        </w:r>
      </w:hyperlink>
      <w:r>
        <w:t xml:space="preserve"> горючих газов и паров производятся только при выполнении ремонтных работ при условии обеспечения безопасности сбросов в факельную систему; основным отличием является отсутствие </w:t>
      </w:r>
      <w:hyperlink w:anchor="sub_11011" w:history="1">
        <w:r>
          <w:rPr>
            <w:rStyle w:val="a4"/>
          </w:rPr>
          <w:t>пилотных (дежурных) горелок</w:t>
        </w:r>
      </w:hyperlink>
      <w:r>
        <w:t>.</w:t>
      </w:r>
    </w:p>
    <w:p w:rsidR="00000000" w:rsidRDefault="00616EF5">
      <w:bookmarkStart w:id="19" w:name="sub_1014"/>
      <w:r>
        <w:t xml:space="preserve">14. </w:t>
      </w:r>
      <w:r>
        <w:t xml:space="preserve">Тип факельной системы и конструкция факельной установки выбираются проектной организацией в зависимости от условий ее эксплуатации, организации сбросов, технологических параметров сбросов (давление, температура и пр.), свойств и состава сбрасываемых газов </w:t>
      </w:r>
      <w:r>
        <w:t>(паров) и обосновываются в проектной документации.</w:t>
      </w:r>
    </w:p>
    <w:p w:rsidR="00000000" w:rsidRDefault="00616EF5">
      <w:bookmarkStart w:id="20" w:name="sub_1015"/>
      <w:bookmarkEnd w:id="19"/>
      <w:r>
        <w:t>15. Эксплуатация факельных систем осуществляется:</w:t>
      </w:r>
    </w:p>
    <w:bookmarkEnd w:id="20"/>
    <w:p w:rsidR="00000000" w:rsidRDefault="00616EF5">
      <w:r>
        <w:t>в соответствии с технологическим регламентом, инструкциями по эксплуатации изготовителя, а также инструкциями по безопасной эксплуа</w:t>
      </w:r>
      <w:r>
        <w:t>тации оборудования, входящего в состав факельных систем, и его технического обслуживания, утвержденными в установленном порядке;</w:t>
      </w:r>
    </w:p>
    <w:p w:rsidR="00000000" w:rsidRDefault="00616EF5">
      <w:r>
        <w:t>производственным персоналом требуемой квалификации, аттестованным или прошедшим проверку знаний по вопросам промышленной безопа</w:t>
      </w:r>
      <w:r>
        <w:t>сности в установленном порядке;</w:t>
      </w:r>
    </w:p>
    <w:p w:rsidR="00000000" w:rsidRDefault="00616EF5">
      <w:r>
        <w:t>при наличии плана мероприятий по локализации и ликвидации последствий аварий на опасных производственных объектах.</w:t>
      </w:r>
    </w:p>
    <w:p w:rsidR="00000000" w:rsidRDefault="00616EF5">
      <w:bookmarkStart w:id="21" w:name="sub_1016"/>
      <w:r>
        <w:t>16. Для вновь проектируемых факельных систем устройства контроля пламени, запальные устройства и сред</w:t>
      </w:r>
      <w:r>
        <w:t>ства контроля, измерения и автоматики факельной системы по надежности электроснабжения рекомендуется относить к потребителям особой группы первой категории.</w:t>
      </w:r>
    </w:p>
    <w:p w:rsidR="00000000" w:rsidRDefault="00616EF5">
      <w:bookmarkStart w:id="22" w:name="sub_1017"/>
      <w:bookmarkEnd w:id="21"/>
      <w:r>
        <w:t xml:space="preserve">17. При организации сбросов из факельной установки в атмосферу рекомендуется руководствоваться типовыми расчетами концентрации в атмосферном воздухе </w:t>
      </w:r>
      <w:hyperlink w:anchor="sub_11003" w:history="1">
        <w:r>
          <w:rPr>
            <w:rStyle w:val="a4"/>
          </w:rPr>
          <w:t>вредных веществ</w:t>
        </w:r>
      </w:hyperlink>
      <w:r>
        <w:t xml:space="preserve"> (продуктов сгорания), содержащихся в выбросах предприятий, и сан</w:t>
      </w:r>
      <w:r>
        <w:t>итарными нормами.</w:t>
      </w:r>
    </w:p>
    <w:bookmarkEnd w:id="22"/>
    <w:p w:rsidR="00000000" w:rsidRDefault="00616EF5"/>
    <w:p w:rsidR="00000000" w:rsidRDefault="00616EF5">
      <w:pPr>
        <w:pStyle w:val="1"/>
      </w:pPr>
      <w:bookmarkStart w:id="23" w:name="sub_10300"/>
      <w:r>
        <w:t>3. Рекомендации по сбросу газов и паров в факельные системы</w:t>
      </w:r>
    </w:p>
    <w:bookmarkEnd w:id="23"/>
    <w:p w:rsidR="00000000" w:rsidRDefault="00616EF5"/>
    <w:p w:rsidR="00000000" w:rsidRDefault="00616EF5">
      <w:bookmarkStart w:id="24" w:name="sub_1018"/>
      <w:r>
        <w:t>18. По каждому источнику сброса газов и паров, направляемых в факельные системы, рекомендуется определить их возможные составы и параметры (те</w:t>
      </w:r>
      <w:r>
        <w:t>мпературу, давление, плотность, расход, продолжительность сброса, а также параметры максимального и минимального суммарного сбросов с объекта).</w:t>
      </w:r>
    </w:p>
    <w:p w:rsidR="00000000" w:rsidRDefault="00616EF5">
      <w:bookmarkStart w:id="25" w:name="sub_1019"/>
      <w:bookmarkEnd w:id="24"/>
      <w:r>
        <w:t xml:space="preserve">19. Рекомендуемая схема сброса газов (паров) в факельную систему приведена в </w:t>
      </w:r>
      <w:hyperlink w:anchor="sub_12000" w:history="1">
        <w:r>
          <w:rPr>
            <w:rStyle w:val="a4"/>
          </w:rPr>
          <w:t>приложении N 2</w:t>
        </w:r>
      </w:hyperlink>
      <w:r>
        <w:t xml:space="preserve"> к настоящему Руководству.</w:t>
      </w:r>
    </w:p>
    <w:bookmarkEnd w:id="25"/>
    <w:p w:rsidR="00000000" w:rsidRDefault="00616EF5">
      <w:r>
        <w:t xml:space="preserve">Рекомендуемая схема сброса газов (паров) в факельную систему с постоянным отводом конденсата из </w:t>
      </w:r>
      <w:hyperlink w:anchor="sub_11019" w:history="1">
        <w:r>
          <w:rPr>
            <w:rStyle w:val="a4"/>
          </w:rPr>
          <w:t>сепаратора</w:t>
        </w:r>
      </w:hyperlink>
      <w:r>
        <w:t xml:space="preserve"> через гидрозатвор приведена в </w:t>
      </w:r>
      <w:hyperlink w:anchor="sub_13000" w:history="1">
        <w:r>
          <w:rPr>
            <w:rStyle w:val="a4"/>
          </w:rPr>
          <w:t xml:space="preserve">приложении </w:t>
        </w:r>
        <w:r>
          <w:rPr>
            <w:rStyle w:val="a4"/>
          </w:rPr>
          <w:t>N 3</w:t>
        </w:r>
      </w:hyperlink>
      <w:r>
        <w:t xml:space="preserve"> к настоящему Руководству.</w:t>
      </w:r>
    </w:p>
    <w:p w:rsidR="00000000" w:rsidRDefault="00616EF5">
      <w:r>
        <w:t>Данные схемы являются рекомендуемыми и могут быть изменены с учетом условий эксплуатации объекта и при условии обеспечения безопасности при сбросах сред в факельные системы.</w:t>
      </w:r>
    </w:p>
    <w:p w:rsidR="00000000" w:rsidRDefault="00616EF5">
      <w:bookmarkStart w:id="26" w:name="sub_1020"/>
      <w:r>
        <w:t>20. Для предупреждения образования в факе</w:t>
      </w:r>
      <w:r>
        <w:t>льной системе взрывоопасной смеси рекомендуется использовать продувочный газ (топливный, природный, попутный нефтяной, инертные газы, в том числе газы, получаемые на технологических установках). Рекомендуется предусмотреть непрерывную подачу продувочного г</w:t>
      </w:r>
      <w:r>
        <w:t xml:space="preserve">аза в начало </w:t>
      </w:r>
      <w:hyperlink w:anchor="sub_11032" w:history="1">
        <w:r>
          <w:rPr>
            <w:rStyle w:val="a4"/>
          </w:rPr>
          <w:t>факельных коллекторов</w:t>
        </w:r>
      </w:hyperlink>
      <w:r>
        <w:t xml:space="preserve"> и трубопроводов технологических установок (систем).</w:t>
      </w:r>
    </w:p>
    <w:bookmarkEnd w:id="26"/>
    <w:p w:rsidR="00000000" w:rsidRDefault="00616EF5">
      <w:r>
        <w:t>В случае прекращения подачи продувочного газа рекомендуется предусматривать автоматическую подачу резервного продувочного газа. Допуск</w:t>
      </w:r>
      <w:r>
        <w:t>ается ручное переключение на резервный продувочный газ для факельных трубопроводов технологических установок (систем).</w:t>
      </w:r>
    </w:p>
    <w:p w:rsidR="00000000" w:rsidRDefault="00616EF5">
      <w:r>
        <w:t>Расход продувочного газа обосновывается проектом. При этом рекомендуется учитывать возможность падения давления в факельном коллекторе, н</w:t>
      </w:r>
      <w:r>
        <w:t>апример, в зимний период времени после осуществления сбросов нагретых конденсирующихся газов и паров.</w:t>
      </w:r>
    </w:p>
    <w:p w:rsidR="00000000" w:rsidRDefault="00616EF5">
      <w:bookmarkStart w:id="27" w:name="sub_1021"/>
      <w:r>
        <w:t xml:space="preserve">21. Рекомендуемая схема подачи продувочного газа в факельный коллектор приведена в </w:t>
      </w:r>
      <w:hyperlink w:anchor="sub_14000" w:history="1">
        <w:r>
          <w:rPr>
            <w:rStyle w:val="a4"/>
          </w:rPr>
          <w:t>приложении N 4</w:t>
        </w:r>
      </w:hyperlink>
      <w:r>
        <w:t xml:space="preserve"> к настоящему Руководс</w:t>
      </w:r>
      <w:r>
        <w:t>тву.</w:t>
      </w:r>
    </w:p>
    <w:bookmarkEnd w:id="27"/>
    <w:p w:rsidR="00000000" w:rsidRDefault="00616EF5">
      <w:r>
        <w:t>Данная схема является рекомендуемой и может быть уточнена проектной организацией в ходе проектирования при условии обеспечения безопасности при эксплуатации факельной системы.</w:t>
      </w:r>
    </w:p>
    <w:p w:rsidR="00000000" w:rsidRDefault="00616EF5">
      <w:bookmarkStart w:id="28" w:name="sub_1022"/>
      <w:r>
        <w:t>22. Не рекомендуется в целях обеспечения безопасности напра</w:t>
      </w:r>
      <w:r>
        <w:t>влять в факельную систему вещества, взаимодействие которых может привести к образованию взрывоопасной смеси (окислитель и восстановитель).</w:t>
      </w:r>
    </w:p>
    <w:p w:rsidR="00000000" w:rsidRDefault="00616EF5">
      <w:bookmarkStart w:id="29" w:name="sub_1023"/>
      <w:bookmarkEnd w:id="28"/>
      <w:r>
        <w:t>23. Не рекомендуется, чтобы содержание кислорода в продувочных и сбрасываемых газах и парах, в том чи</w:t>
      </w:r>
      <w:r>
        <w:t>сле в газах сложного состава, превышало 50% минимального взрывоопасного содержания кислорода в возможной смеси с горючим, и обосновывается разработчиком проекта.</w:t>
      </w:r>
    </w:p>
    <w:p w:rsidR="00000000" w:rsidRDefault="00616EF5">
      <w:bookmarkStart w:id="30" w:name="sub_1024"/>
      <w:bookmarkEnd w:id="29"/>
      <w:r>
        <w:t>24. Не рекомендуется осуществлять сброс в общую факельную систему водорода, ац</w:t>
      </w:r>
      <w:r>
        <w:t>етилена, этилена и окиси углерода и смеси этих быстрогорящих газов с содержанием кислорода в них более 2% объема. Возможность сброса этих веществ и их смесей в каждом конкретном случае обосновывается в проектной документации.</w:t>
      </w:r>
    </w:p>
    <w:p w:rsidR="00000000" w:rsidRDefault="00616EF5">
      <w:bookmarkStart w:id="31" w:name="sub_1025"/>
      <w:bookmarkEnd w:id="30"/>
      <w:r>
        <w:t>25. Не рекомен</w:t>
      </w:r>
      <w:r>
        <w:t>дуется подавать на сжигание в общую и отдельную факельные системы сбрасываемые горючие газы и пары с объемным содержанием в них веществ I и II классов опасности (кроме бензола) более 1% и (или) сероводорода более 8%.</w:t>
      </w:r>
    </w:p>
    <w:p w:rsidR="00000000" w:rsidRDefault="00616EF5">
      <w:bookmarkStart w:id="32" w:name="sub_1026"/>
      <w:bookmarkEnd w:id="31"/>
      <w:r>
        <w:t xml:space="preserve">26. Сбросы, содержащие </w:t>
      </w:r>
      <w:r>
        <w:t>вещества I и II классов опасности (кроме бензола) более 1% и (или) сероводорода более 8%, а также сбросы, при сжигании которых в продуктах сгорания образуются или сохраняются вредные вещества I и II классов опасности, направляют в специальные емкости для д</w:t>
      </w:r>
      <w:r>
        <w:t xml:space="preserve">альнейшей очистки, обезвреживания, утилизации и переработки или в </w:t>
      </w:r>
      <w:hyperlink w:anchor="sub_11021" w:history="1">
        <w:r>
          <w:rPr>
            <w:rStyle w:val="a4"/>
          </w:rPr>
          <w:t>специальную факельную систему</w:t>
        </w:r>
      </w:hyperlink>
      <w:r>
        <w:t xml:space="preserve"> для сжигания.</w:t>
      </w:r>
    </w:p>
    <w:p w:rsidR="00000000" w:rsidRDefault="00616EF5">
      <w:bookmarkStart w:id="33" w:name="sub_1027"/>
      <w:bookmarkEnd w:id="32"/>
      <w:r>
        <w:t>27. В трубопроводе для сброса и транспортирования сбросных газов и паров от нескольких источников сброс</w:t>
      </w:r>
      <w:r>
        <w:t>а (далее - факельный коллектор) и подводящих трубопроводах газов и паров рекомендуется в целях обеспечения безопасности предусматривать меры по исключению возможности их кристаллизации.</w:t>
      </w:r>
    </w:p>
    <w:p w:rsidR="00000000" w:rsidRDefault="00616EF5">
      <w:bookmarkStart w:id="34" w:name="sub_1028"/>
      <w:bookmarkEnd w:id="33"/>
      <w:r>
        <w:t>28. Рекомендуется учитывать возможность сброса в факел</w:t>
      </w:r>
      <w:r>
        <w:t>ьную систему двухфазных сред (при сбросе из оборудования, содержащего сжиженные газы). В этом случае должны быть приняты меры по предотвращению "снарядного" движения жидкостных пробок, а при расчете факельного коллектора и его опор рекомендуется учесть уве</w:t>
      </w:r>
      <w:r>
        <w:t>личенные вибрации и кинетическое воздействие потока жидкой фазы.</w:t>
      </w:r>
    </w:p>
    <w:p w:rsidR="00000000" w:rsidRDefault="00616EF5">
      <w:bookmarkStart w:id="35" w:name="sub_1029"/>
      <w:bookmarkEnd w:id="34"/>
      <w:r>
        <w:t>29. Не рекомендуется подавать на сжигание в факельную установку горючие газы и пары с объемным содержанием в них инертных газов более 5%.</w:t>
      </w:r>
    </w:p>
    <w:p w:rsidR="00000000" w:rsidRDefault="00616EF5">
      <w:bookmarkStart w:id="36" w:name="sub_1030"/>
      <w:bookmarkEnd w:id="35"/>
      <w:r>
        <w:t>30. При необходимости</w:t>
      </w:r>
      <w:r>
        <w:t xml:space="preserve"> допускается подача на сжигание газов и паров с более высоким содержанием инертных газов. При этом рекомендуется принятие в проекте технических решений, направленных на обеспечение стабильного горения факела и предотвращение его погасания (например, дополн</w:t>
      </w:r>
      <w:r>
        <w:t>ительная подача топливного газа в основание факельного ствола или по периметру оголовка).</w:t>
      </w:r>
    </w:p>
    <w:bookmarkEnd w:id="36"/>
    <w:p w:rsidR="00000000" w:rsidRDefault="00616EF5">
      <w:r>
        <w:t>Расход топливного газа, подаваемого для обеспечения стабильного горения факела и предотвращение его погасания, определяется и обосновывается проектом. В случа</w:t>
      </w:r>
      <w:r>
        <w:t>е прекращения подачи основного топливного газа рекомендуется предусмотреть подачу топливного газа от резервного источника.</w:t>
      </w:r>
    </w:p>
    <w:p w:rsidR="00000000" w:rsidRDefault="00616EF5">
      <w:bookmarkStart w:id="37" w:name="sub_1031"/>
      <w:r>
        <w:t>31. Давление в факельной системе определяется проектом с учетом выполнения следующих условий:</w:t>
      </w:r>
    </w:p>
    <w:bookmarkEnd w:id="37"/>
    <w:p w:rsidR="00000000" w:rsidRDefault="00616EF5">
      <w:r>
        <w:t>безопасность сброса газ</w:t>
      </w:r>
      <w:r>
        <w:t xml:space="preserve">ов и паров из оборудования рекомендуется подтвердить расчетом пропускной способности, в том числе с учетом возможности совпадения сбросов, например, при аварийном сбросе и одновременном пуске оборудования с постоянной продувкой в факельную систему, отказа </w:t>
      </w:r>
      <w:r>
        <w:t>по общей причине, например, отказ систем энергоснабжения, пожар и пр.;</w:t>
      </w:r>
    </w:p>
    <w:p w:rsidR="00000000" w:rsidRDefault="00616EF5">
      <w:r>
        <w:t>рекомендуется учитывать, что противодавление, которое может возникнуть в любой точке факельной системы при максимальных скоростях сброса, не должно оказывать препятствия срабатыванию пр</w:t>
      </w:r>
      <w:r>
        <w:t>едохранительных и сбросных клапанов, а также снижать пропускную способность любого предохранительного клапана ниже значения, требуемого для защиты оборудования от превышения давления;</w:t>
      </w:r>
    </w:p>
    <w:p w:rsidR="00000000" w:rsidRDefault="00616EF5">
      <w:r>
        <w:t>учесть, что давление в источниках сброса, подключенных к факельной систе</w:t>
      </w:r>
      <w:r>
        <w:t>ме, должно превышать максимально возможное давление в факельном коллекторе;</w:t>
      </w:r>
    </w:p>
    <w:p w:rsidR="00000000" w:rsidRDefault="00616EF5">
      <w:r>
        <w:t>учесть, что расчет систем сброса давления из оборудования в факельную систему должен быть выполнен с учетом фактического противодавления систем;</w:t>
      </w:r>
    </w:p>
    <w:p w:rsidR="00000000" w:rsidRDefault="00616EF5">
      <w:r>
        <w:t>гидравлическое сопротивление сбросн</w:t>
      </w:r>
      <w:r>
        <w:t>ых газопроводов на участках от любого предохранительного клапана до выхода из факела рекомендуется принимать с учетом технической характеристики клапана;</w:t>
      </w:r>
    </w:p>
    <w:p w:rsidR="00000000" w:rsidRDefault="00616EF5">
      <w:r>
        <w:t>учесть, что на оборудовании должна быть предусмотрена установка предохранительных клапанов, давление открытия которых не зависит от давления в факельной системе (сильфонные или пилотные), либо предохранительные клапаны, учитывающие фактическое противодавле</w:t>
      </w:r>
      <w:r>
        <w:t>ние в факельном коллекторе;</w:t>
      </w:r>
    </w:p>
    <w:p w:rsidR="00000000" w:rsidRDefault="00616EF5">
      <w:r>
        <w:t>при расчете опор факельного коллектора учесть, что увеличение скорости сброса приводит к увеличению воздействия вибраций на факельный коллектор.</w:t>
      </w:r>
    </w:p>
    <w:p w:rsidR="00000000" w:rsidRDefault="00616EF5">
      <w:bookmarkStart w:id="38" w:name="sub_1032"/>
      <w:r>
        <w:t>32. Если аварийные сбросы приводят к увеличению давления в факельной систем</w:t>
      </w:r>
      <w:r>
        <w:t>е до величины, препятствующей нормальной работе предохранительных клапанов и других противоаварийных устройств, то в этом случае аварийные сбросы рекомендуется направлять в другую факельную систему.</w:t>
      </w:r>
    </w:p>
    <w:p w:rsidR="00000000" w:rsidRDefault="00616EF5">
      <w:bookmarkStart w:id="39" w:name="sub_1033"/>
      <w:bookmarkEnd w:id="38"/>
      <w:r>
        <w:t>33. Горючие газы и пары, сбрасываемые с т</w:t>
      </w:r>
      <w:r>
        <w:t xml:space="preserve">ехнологических аппаратов через гидрозатворы, рассчитанные на давление меньшее, чем давление в факельном коллекторе, рекомендуется направлять в специальную факельную систему или по отдельному (специальному) </w:t>
      </w:r>
      <w:hyperlink w:anchor="sub_11035" w:history="1">
        <w:r>
          <w:rPr>
            <w:rStyle w:val="a4"/>
          </w:rPr>
          <w:t>факельному трубопроводу</w:t>
        </w:r>
      </w:hyperlink>
      <w:r>
        <w:t>, не связанному с коллектором от других предохранительных устройств аварийного сброса, постоянных и периодических сбросов.</w:t>
      </w:r>
    </w:p>
    <w:bookmarkEnd w:id="39"/>
    <w:p w:rsidR="00000000" w:rsidRDefault="00616EF5">
      <w:r>
        <w:t>Специальный трубопровод через отдельный сепаратор подключается непосредственно к стволу факельной установки.</w:t>
      </w:r>
    </w:p>
    <w:p w:rsidR="00000000" w:rsidRDefault="00616EF5">
      <w:bookmarkStart w:id="40" w:name="sub_1034"/>
      <w:r>
        <w:t>34. В об</w:t>
      </w:r>
      <w:r>
        <w:t>основанных случаях допускается установка запорной арматуры после гидрозатворов на месте врезки в общую факельную систему (при исключении возможности случайного ее закрытия). Одновременно предусматриваются дополнительные меры безопасности, в том числе сняти</w:t>
      </w:r>
      <w:r>
        <w:t>е штурвала запорной арматуры, опломбирование ее в открытом состоянии, установка на ней специальных кожухов, вывод сигнала о положении арматуры на пульт управления. Тип запорной арматуры определяется проектной организацией.</w:t>
      </w:r>
    </w:p>
    <w:p w:rsidR="00000000" w:rsidRDefault="00616EF5">
      <w:bookmarkStart w:id="41" w:name="sub_1035"/>
      <w:bookmarkEnd w:id="40"/>
      <w:r>
        <w:t>35. Сбросы, не от</w:t>
      </w:r>
      <w:r>
        <w:t>носящиеся к горючим газам, парам и токсичным веществам, а также периодические и аварийные сбросы легких нетоксичных горючих газов и газов, содержащих вещества (полимеры), способные забивать факельные коллекторы и/или снижать пропускную способность факельно</w:t>
      </w:r>
      <w:r>
        <w:t>го коллектора, могут быть направлены на свечу рассеивания с обоснованием в проектной документации (документации на техническое перевооружение) безопасности принятого технического решения.</w:t>
      </w:r>
    </w:p>
    <w:bookmarkEnd w:id="41"/>
    <w:p w:rsidR="00000000" w:rsidRDefault="00616EF5">
      <w:r>
        <w:t>К легким газам относятся газы с плотностью не более 0,8 по о</w:t>
      </w:r>
      <w:r>
        <w:t xml:space="preserve">тношению к плотности воздуха при условиях сброса. В случае изменения состава сбрасываемого газа, приводящего к увеличению его плотности более 0,8 по отношению к плотности воздуха, сброс газа в атмосферу через </w:t>
      </w:r>
      <w:hyperlink w:anchor="sub_11017" w:history="1">
        <w:r>
          <w:rPr>
            <w:rStyle w:val="a4"/>
          </w:rPr>
          <w:t>сбросную трубу</w:t>
        </w:r>
      </w:hyperlink>
      <w:r>
        <w:t xml:space="preserve"> не ре</w:t>
      </w:r>
      <w:r>
        <w:t>комендуется.</w:t>
      </w:r>
    </w:p>
    <w:p w:rsidR="00000000" w:rsidRDefault="00616EF5">
      <w:r>
        <w:t>Устройство сбросных труб и условия сброса обеспечивают эффективное рассеивание сбрасываемых газов и паров, исключающее образование взрывоопасных и токсически опасных концентраций в зоне размещения технологического оборудования, рабочих мест, з</w:t>
      </w:r>
      <w:r>
        <w:t>даний и сооружений. При этом рекомендуется предусматривать устройства, предотвращающие попадание жидкости в сбросные трубы и ее скопление.</w:t>
      </w:r>
    </w:p>
    <w:p w:rsidR="00000000" w:rsidRDefault="00616EF5">
      <w:r>
        <w:t xml:space="preserve">Пример расчета концентрации горючего газа при сбросе через сбросную трубу приведен в </w:t>
      </w:r>
      <w:hyperlink w:anchor="sub_15000" w:history="1">
        <w:r>
          <w:rPr>
            <w:rStyle w:val="a4"/>
          </w:rPr>
          <w:t>приложен</w:t>
        </w:r>
        <w:r>
          <w:rPr>
            <w:rStyle w:val="a4"/>
          </w:rPr>
          <w:t>ии N 5</w:t>
        </w:r>
      </w:hyperlink>
      <w:r>
        <w:t xml:space="preserve"> к настоящему Руководству. При соответствующем обосновании в проекте допускается использовать иные методики для расчета концентрации опасных веществ в приземном слое.</w:t>
      </w:r>
    </w:p>
    <w:p w:rsidR="00000000" w:rsidRDefault="00616EF5">
      <w:bookmarkStart w:id="42" w:name="sub_1036"/>
      <w:r>
        <w:t xml:space="preserve">36. Газы и пары воспламеняющихся и горючих веществ от предохранительных </w:t>
      </w:r>
      <w:r>
        <w:t>клапанов, установленных на емкостях, предназначенных для хранения сжиженных углеводородных газов и легковоспламеняющихся жидкостей, рекомендуется направлять в отдельную или специальную факельные системы.</w:t>
      </w:r>
    </w:p>
    <w:bookmarkEnd w:id="42"/>
    <w:p w:rsidR="00000000" w:rsidRDefault="00616EF5">
      <w:r>
        <w:t>При техническом обосновании в проектной доку</w:t>
      </w:r>
      <w:r>
        <w:t>ментации такие сбросы могут быть направлены для сжигания в факельный ствол общей факельной системы.</w:t>
      </w:r>
    </w:p>
    <w:p w:rsidR="00000000" w:rsidRDefault="00616EF5">
      <w:bookmarkStart w:id="43" w:name="sub_1037"/>
      <w:r>
        <w:t xml:space="preserve">37. Для факельной системы с </w:t>
      </w:r>
      <w:hyperlink w:anchor="sub_11024" w:history="1">
        <w:r>
          <w:rPr>
            <w:rStyle w:val="a4"/>
          </w:rPr>
          <w:t>установкой сбора углеводородных газов и паров</w:t>
        </w:r>
      </w:hyperlink>
      <w:r>
        <w:t xml:space="preserve"> рекомендуемая температура сбрасываемых газов и </w:t>
      </w:r>
      <w:r>
        <w:t>паров обосновывается проектной документацией (документацией на техническое перевооружение). При использовании в составе факельных установок газгольдеров температура сбросов, поступающих в него, не должна приводить к выкипанию (испарению) затворной жидкости</w:t>
      </w:r>
      <w:r>
        <w:t xml:space="preserve"> (ее компонентов).</w:t>
      </w:r>
    </w:p>
    <w:bookmarkEnd w:id="43"/>
    <w:p w:rsidR="00000000" w:rsidRDefault="00616EF5"/>
    <w:p w:rsidR="00000000" w:rsidRDefault="00616EF5">
      <w:pPr>
        <w:pStyle w:val="1"/>
      </w:pPr>
      <w:bookmarkStart w:id="44" w:name="sub_10400"/>
      <w:r>
        <w:t>4. Составляющие факельных систем</w:t>
      </w:r>
    </w:p>
    <w:bookmarkEnd w:id="44"/>
    <w:p w:rsidR="00000000" w:rsidRDefault="00616EF5"/>
    <w:p w:rsidR="00000000" w:rsidRDefault="00616EF5">
      <w:pPr>
        <w:pStyle w:val="1"/>
      </w:pPr>
      <w:bookmarkStart w:id="45" w:name="sub_10410"/>
      <w:r>
        <w:t>4.1. Коллекторы и трубопроводы</w:t>
      </w:r>
    </w:p>
    <w:bookmarkEnd w:id="45"/>
    <w:p w:rsidR="00000000" w:rsidRDefault="00616EF5"/>
    <w:p w:rsidR="00000000" w:rsidRDefault="00616EF5">
      <w:bookmarkStart w:id="46" w:name="sub_1038"/>
      <w:r>
        <w:t>38. Для отдельных и специальных факельных систем рекомендуется предусматривать один факельный коллектор и одну факельн</w:t>
      </w:r>
      <w:r>
        <w:t>ую установку.</w:t>
      </w:r>
    </w:p>
    <w:p w:rsidR="00000000" w:rsidRDefault="00616EF5">
      <w:bookmarkStart w:id="47" w:name="sub_1039"/>
      <w:bookmarkEnd w:id="46"/>
      <w:r>
        <w:t>39. Общим факельным системам рекомендуется иметь два факельных коллектора и две факельные установки для обеспечения безостановочной работы.</w:t>
      </w:r>
    </w:p>
    <w:p w:rsidR="00000000" w:rsidRDefault="00616EF5">
      <w:bookmarkStart w:id="48" w:name="sub_1040"/>
      <w:bookmarkEnd w:id="47"/>
      <w:r>
        <w:t>40. При сбросах в общую факельную систему газов, паров и их смесей, не</w:t>
      </w:r>
      <w:r>
        <w:t xml:space="preserve"> вызывающих коррозии более 0,1 мм в год, рекомендуется обеспечивать факельные установки одним коллектором при соответствующем обосновании в проектной документации (документации на техническое перевооружение).</w:t>
      </w:r>
    </w:p>
    <w:p w:rsidR="00000000" w:rsidRDefault="00616EF5">
      <w:bookmarkStart w:id="49" w:name="sub_1041"/>
      <w:bookmarkEnd w:id="48"/>
      <w:r>
        <w:t>41. Допускается не предусматрив</w:t>
      </w:r>
      <w:r>
        <w:t>ать резервную факельную установку при условии, что в случае отказа действующей факельной установки предусматривается останов технологических объектов (установок, резервуарных парков, иных объектов) при одновременном переключении на альтернативную схему сбр</w:t>
      </w:r>
      <w:r>
        <w:t>оса газов и паров в другую факельную систему (например, факельную систему смежного объекта/установки). При этом другая факельная система, задействованная в альтернативном сбросе, должна учитывать возможность такого сброса.</w:t>
      </w:r>
    </w:p>
    <w:p w:rsidR="00000000" w:rsidRDefault="00616EF5">
      <w:bookmarkStart w:id="50" w:name="sub_1042"/>
      <w:bookmarkEnd w:id="49"/>
      <w:r>
        <w:t>42. На общих факе</w:t>
      </w:r>
      <w:r>
        <w:t>льных системах в местах разветвления трубопроводов в целях отключения от факельных систем технологических объектов (установок, резервуарных парков и пр.), переключения сепараторов, коллекторов и факельных установок/стволов возможно размещение в горизонталь</w:t>
      </w:r>
      <w:r>
        <w:t>ном положении запорных устройств, опломбированных в открытом состоянии.</w:t>
      </w:r>
    </w:p>
    <w:p w:rsidR="00000000" w:rsidRDefault="00616EF5">
      <w:bookmarkStart w:id="51" w:name="sub_1043"/>
      <w:bookmarkEnd w:id="50"/>
      <w:r>
        <w:t>43. Факельные коллекторы и трубопроводы рекомендуется предусматривать минимальной длины и с минимальным числом поворотов, которые необходимо прокладывать над землей (на</w:t>
      </w:r>
      <w:r>
        <w:t xml:space="preserve"> опорах и эстакадах).</w:t>
      </w:r>
    </w:p>
    <w:p w:rsidR="00000000" w:rsidRDefault="00616EF5">
      <w:bookmarkStart w:id="52" w:name="sub_1044"/>
      <w:bookmarkEnd w:id="51"/>
      <w:r>
        <w:t>44. Врезку трубопроводов, соединяющих устройства сброса в факельный коллектор, рекомендуется производить сверху в целях исключения скопления в них жидкой фазы.</w:t>
      </w:r>
    </w:p>
    <w:p w:rsidR="00000000" w:rsidRDefault="00616EF5">
      <w:bookmarkStart w:id="53" w:name="sub_1045"/>
      <w:bookmarkEnd w:id="52"/>
      <w:r>
        <w:t>45. На факельных коллекторах и трубопровод</w:t>
      </w:r>
      <w:r>
        <w:t>ах не рекомендуется устанавливать сальниковые компенсаторы.</w:t>
      </w:r>
    </w:p>
    <w:p w:rsidR="00000000" w:rsidRDefault="00616EF5">
      <w:bookmarkStart w:id="54" w:name="sub_1046"/>
      <w:bookmarkEnd w:id="53"/>
      <w:r>
        <w:t>46. Тепловая компенсация факельных коллекторов и трубопроводов рассчитывается с учетом максимальной и минимальной температур сбрасываемых газов и паров, максимальной температуры па</w:t>
      </w:r>
      <w:r>
        <w:t>ра для пропарки, а также температуры обогревающей среды для обогреваемых коллекторов и средней температуры наиболее холодной пятидневки.</w:t>
      </w:r>
    </w:p>
    <w:p w:rsidR="00000000" w:rsidRDefault="00616EF5">
      <w:bookmarkStart w:id="55" w:name="sub_1047"/>
      <w:bookmarkEnd w:id="54"/>
      <w:r>
        <w:t>47. На коллекторах и трубопроводах факельных систем рекомендуется, при необходимости, устанавливать теп</w:t>
      </w:r>
      <w:r>
        <w:t>ловую изоляцию и (или) обогревающие спутники для предотвращения конденсации и кристаллизации веществ.</w:t>
      </w:r>
    </w:p>
    <w:p w:rsidR="00000000" w:rsidRDefault="00616EF5">
      <w:bookmarkStart w:id="56" w:name="sub_1048"/>
      <w:bookmarkEnd w:id="55"/>
      <w:r>
        <w:t>48. Факельные коллекторы и трубопроводы рекомендуется прокладывать с уклоном не менее 0,002 в сторону сепараторов. Если выдерживать указан</w:t>
      </w:r>
      <w:r>
        <w:t>ный уклон невозможно, в низших точках факельных коллекторов и трубопроводов рекомендуется размещать устройства для отвода конденсата, конструкция которых исключает унос жидкости и предусматривает их тепловую изоляцию и наружный обогрев.</w:t>
      </w:r>
    </w:p>
    <w:p w:rsidR="00000000" w:rsidRDefault="00616EF5">
      <w:bookmarkStart w:id="57" w:name="sub_1049"/>
      <w:bookmarkEnd w:id="56"/>
      <w:r>
        <w:t xml:space="preserve">49. Количество продувочного газа рекомендуется определять в соответствии с </w:t>
      </w:r>
      <w:hyperlink w:anchor="sub_1159" w:history="1">
        <w:r>
          <w:rPr>
            <w:rStyle w:val="a4"/>
          </w:rPr>
          <w:t>пунктом 159</w:t>
        </w:r>
      </w:hyperlink>
      <w:r>
        <w:t xml:space="preserve"> настоящего Руководства.</w:t>
      </w:r>
    </w:p>
    <w:p w:rsidR="00000000" w:rsidRDefault="00616EF5">
      <w:bookmarkStart w:id="58" w:name="sub_1050"/>
      <w:bookmarkEnd w:id="57"/>
      <w:r>
        <w:t>50. Пропускную способность общих факельных систем рекомендуется рассчитывать на следующие расходы газов</w:t>
      </w:r>
      <w:r>
        <w:t xml:space="preserve"> и паров:</w:t>
      </w:r>
    </w:p>
    <w:bookmarkEnd w:id="58"/>
    <w:p w:rsidR="00000000" w:rsidRDefault="00616EF5">
      <w:r>
        <w:t xml:space="preserve">при постоянных и периодических сбросах - на сумму периодических (с коэффициентом 0,2) и </w:t>
      </w:r>
      <w:hyperlink w:anchor="sub_11012" w:history="1">
        <w:r>
          <w:rPr>
            <w:rStyle w:val="a4"/>
          </w:rPr>
          <w:t>постоянных сбросов</w:t>
        </w:r>
      </w:hyperlink>
      <w:r>
        <w:t xml:space="preserve"> от всех подключенных технологических установок, но не менее чем на сумму постоянных сбросов и максимальн</w:t>
      </w:r>
      <w:r>
        <w:t>ого периодического сброса (с коэффициентом 1,2) от установки с наибольшей величиной этого сброса;</w:t>
      </w:r>
    </w:p>
    <w:p w:rsidR="00000000" w:rsidRDefault="00616EF5">
      <w:r>
        <w:t>при аварийных сбросах - на сумму аварийных сбросов (с коэффициентом 0,25) от всех подключенных установок, но не менее чем на величину аварийного сброса (с коэ</w:t>
      </w:r>
      <w:r>
        <w:t>ффициентом 1,5) от установки с наибольшей величиной этого сброса.</w:t>
      </w:r>
    </w:p>
    <w:p w:rsidR="00000000" w:rsidRDefault="00616EF5">
      <w:r>
        <w:t>Допускается рассчитывать пропускную способность на сумму аварийных сбросов от всех подключенных технологических установок; при аварийных, постоянных и периодических сбросах - на сумму всех в</w:t>
      </w:r>
      <w:r>
        <w:t>идов сбросов, рассчитанных в порядке, установленном настоящим пунктом.</w:t>
      </w:r>
    </w:p>
    <w:p w:rsidR="00000000" w:rsidRDefault="00616EF5">
      <w:r>
        <w:t>При соответствующем обосновании в проектной документации (документации на техническое перевооружение) допускается выполнять расчет пропускной способности общей факельной системы без уче</w:t>
      </w:r>
      <w:r>
        <w:t>та приведенных выше коэффициентов. В этом случае пропускную способность общей факельной системы следует рассчитывать на максимально возможный сброс, определенный на базе анализа всех возможных сценариев сброса (аварийных, постоянных, периодических) и вариа</w:t>
      </w:r>
      <w:r>
        <w:t xml:space="preserve">нтов их совпадения. При этом следует также учитывать сценарии отказа по общей причине, такие как отказ систем электроснабжения, воздуха КИП, систем охлаждения или нагрева, возникновения пожара и пр. Среди отказов по общей причине необходимо учитывать, что </w:t>
      </w:r>
      <w:r>
        <w:t>потеря электропитания может привести к одновременному отказу систем воздуха КИП, систем обращения хладагентов, теплоносителя и иных систем обеспечения безопасности.</w:t>
      </w:r>
    </w:p>
    <w:p w:rsidR="00000000" w:rsidRDefault="00616EF5">
      <w:r>
        <w:t>Все рассмотренные сценарии и варианты их совпадений должны быть задокументированы, в том чи</w:t>
      </w:r>
      <w:r>
        <w:t>сле сценарии отказов по общей причине.</w:t>
      </w:r>
    </w:p>
    <w:p w:rsidR="00000000" w:rsidRDefault="00616EF5">
      <w:bookmarkStart w:id="59" w:name="sub_1051"/>
      <w:r>
        <w:t>51. Пропускную способность отдельных и специальных факельных систем рекомендуется рассчитывать на сумму постоянных сбросов от всех подключенных технологических блоков и аварийного сброса от одного блока с наиб</w:t>
      </w:r>
      <w:r>
        <w:t>ольшей величиной этого сброса. Коэффициент сброса обосновывается и устанавливается в проектной документации.</w:t>
      </w:r>
    </w:p>
    <w:p w:rsidR="00000000" w:rsidRDefault="00616EF5">
      <w:bookmarkStart w:id="60" w:name="sub_1052"/>
      <w:bookmarkEnd w:id="59"/>
      <w:r>
        <w:t>52. Площадь проходного сечения арматуры для аварийного сброса с ручным или дистанционным приводом рекомендуется выбирать с учетом с</w:t>
      </w:r>
      <w:r>
        <w:t>оответствующей пропускной способности факельного коллектора на выходе с установки.</w:t>
      </w:r>
    </w:p>
    <w:p w:rsidR="00000000" w:rsidRDefault="00616EF5">
      <w:bookmarkStart w:id="61" w:name="sub_1053"/>
      <w:bookmarkEnd w:id="60"/>
      <w:r>
        <w:t>53. На трубопроводах сбрасываемых газов и паров рекомендуется устанавливать фланцевые соединения в местах присоединения арматуры, контрольно-измерительных пр</w:t>
      </w:r>
      <w:r>
        <w:t>иборов и автоматики, а для монтажных соединений - в местах, где сварка невыполнима.</w:t>
      </w:r>
    </w:p>
    <w:bookmarkEnd w:id="61"/>
    <w:p w:rsidR="00000000" w:rsidRDefault="00616EF5">
      <w:r>
        <w:t>Каждый сварной шов факельного коллектора и факельного ствола проверяют неразрушающим методом, обеспечивающим эффективный контроль качества сварного шва.</w:t>
      </w:r>
    </w:p>
    <w:p w:rsidR="00000000" w:rsidRDefault="00616EF5">
      <w:bookmarkStart w:id="62" w:name="sub_1054"/>
      <w:r>
        <w:t>54.</w:t>
      </w:r>
      <w:r>
        <w:t xml:space="preserve"> На коллекторе перед факельным стволом или на факельном стволе рекомендуется предусматривать фланцевое соединение для установки заглушки при проведении испытаний на плотность и прочность.</w:t>
      </w:r>
    </w:p>
    <w:p w:rsidR="00000000" w:rsidRDefault="00616EF5">
      <w:bookmarkStart w:id="63" w:name="sub_1055"/>
      <w:bookmarkEnd w:id="62"/>
      <w:r>
        <w:t>55. Для продувки технологических установок и цеховых</w:t>
      </w:r>
      <w:r>
        <w:t xml:space="preserve"> факельных трубопроводов азотом или воздухом при пуске или остановке на ремонт в обоснованных случаях на выходе с технологической установки устанавливается сбросная труба с отключающей арматурой.</w:t>
      </w:r>
    </w:p>
    <w:bookmarkEnd w:id="63"/>
    <w:p w:rsidR="00000000" w:rsidRDefault="00616EF5"/>
    <w:p w:rsidR="00000000" w:rsidRDefault="00616EF5">
      <w:pPr>
        <w:pStyle w:val="1"/>
      </w:pPr>
      <w:bookmarkStart w:id="64" w:name="sub_10420"/>
      <w:r>
        <w:t>4.2. Сепараторы и сборники конденсата</w:t>
      </w:r>
    </w:p>
    <w:bookmarkEnd w:id="64"/>
    <w:p w:rsidR="00000000" w:rsidRDefault="00616EF5"/>
    <w:p w:rsidR="00000000" w:rsidRDefault="00616EF5">
      <w:bookmarkStart w:id="65" w:name="sub_1056"/>
      <w:r>
        <w:t>56. С целью исключения содержания жидкой фазы и твердых частиц в газах и парах, сбрасываемых в общую и отдельную факельные системы, в границах технологического объекта (установка, резервуарный парк, иной объект) рекомендуется устанавливать се</w:t>
      </w:r>
      <w:r>
        <w:t>параторы.</w:t>
      </w:r>
    </w:p>
    <w:p w:rsidR="00000000" w:rsidRDefault="00616EF5">
      <w:bookmarkStart w:id="66" w:name="sub_1057"/>
      <w:bookmarkEnd w:id="65"/>
      <w:r>
        <w:t>57. С целью недопущения попадания конденсата из факельного коллектора в факельный ствол рекомендуется на входе в факельную установку предусматривать установку факельного сепаратора.</w:t>
      </w:r>
    </w:p>
    <w:p w:rsidR="00000000" w:rsidRDefault="00616EF5">
      <w:bookmarkStart w:id="67" w:name="sub_1058"/>
      <w:bookmarkEnd w:id="66"/>
      <w:r>
        <w:t>58. При наличии в сбросных газах</w:t>
      </w:r>
      <w:r>
        <w:t xml:space="preserve"> твердых или смолистых осадков рекомендуется устанавливать два параллельных сепаратора. При малом содержании примесей сепаратор рекомендуется оснащать байпасной линией с системой сблокированных задвижек "закрыто-открыто" и быстросъемными заглушками, обеспе</w:t>
      </w:r>
      <w:r>
        <w:t>чивающими постоянный проток сбросов на факел и возможность очистки сепаратора.</w:t>
      </w:r>
    </w:p>
    <w:p w:rsidR="00000000" w:rsidRDefault="00616EF5">
      <w:bookmarkStart w:id="68" w:name="sub_1059"/>
      <w:bookmarkEnd w:id="67"/>
      <w:r>
        <w:t xml:space="preserve">59. Конструкцию и размеры сепараторов (на входе в факельный коллектор, факельную установку) рекомендуется рассчитывать на максимально возможный аварийный сброс. </w:t>
      </w:r>
      <w:r>
        <w:t xml:space="preserve">Рекомендуется применять сепараторы с </w:t>
      </w:r>
      <w:hyperlink w:anchor="sub_11013" w:history="1">
        <w:r>
          <w:rPr>
            <w:rStyle w:val="a4"/>
          </w:rPr>
          <w:t>постоянным отводом жидкости</w:t>
        </w:r>
      </w:hyperlink>
      <w:r>
        <w:t xml:space="preserve"> или с автоматической откачкой жидкости насосами.</w:t>
      </w:r>
    </w:p>
    <w:p w:rsidR="00000000" w:rsidRDefault="00616EF5">
      <w:bookmarkStart w:id="69" w:name="sub_1060"/>
      <w:bookmarkEnd w:id="68"/>
      <w:r>
        <w:t>60. Допускается автоматическое удаление низкокипящих жидкостей из факельного сепаратора их испарени</w:t>
      </w:r>
      <w:r>
        <w:t>ем в факельную систему. Способы испарения жидкостей рекомендуется устанавливать и обосновывать в проектной документации (документации на техническое перевооружение) с учетом исключения возможности повышения давления и температуры в сепараторе выше расчетны</w:t>
      </w:r>
      <w:r>
        <w:t>х значений, превышения температуры выше температуры самовоспламенения сбрасываемых сред, проскока жидкой фазы на факел и др.</w:t>
      </w:r>
    </w:p>
    <w:p w:rsidR="00000000" w:rsidRDefault="00616EF5">
      <w:bookmarkStart w:id="70" w:name="sub_1061"/>
      <w:bookmarkEnd w:id="69"/>
      <w:r>
        <w:t>61. При применении комбинированного способа удаления жидкой фазы (конденсата) из факельного сепаратора (методом час</w:t>
      </w:r>
      <w:r>
        <w:t>тичного испарения низкокипящих жидкостей с последующей откачкой неиспарившейся жидкости насосами) возможно дистанционное включение насосов. При этом рекомендуется предусматривать сигнализацию достижения высокого и аварийно высокого уровня жидкости в факель</w:t>
      </w:r>
      <w:r>
        <w:t>ном сепараторе. Время достижения аварийно высокого уровня должно учитывать время реагирования персонала на приведение уровня в факельном сепараторе (сборнике конденсата) к регламентированному значению.</w:t>
      </w:r>
    </w:p>
    <w:p w:rsidR="00000000" w:rsidRDefault="00616EF5">
      <w:bookmarkStart w:id="71" w:name="sub_1062"/>
      <w:bookmarkEnd w:id="70"/>
      <w:r>
        <w:t>62. Скорость удаления жидкости из сепа</w:t>
      </w:r>
      <w:r>
        <w:t>раторов должна быть достаточной для поддержания ее уровня в пределах проектных значений при максимальном сбросе.</w:t>
      </w:r>
    </w:p>
    <w:p w:rsidR="00000000" w:rsidRDefault="00616EF5">
      <w:bookmarkStart w:id="72" w:name="sub_1063"/>
      <w:bookmarkEnd w:id="71"/>
      <w:r>
        <w:t>63. Сборники конденсата факельных установок (кроме упрощенных) рекомендуется опорожнять автоматически, а в обоснованных случаях</w:t>
      </w:r>
      <w:r>
        <w:t xml:space="preserve"> - дистанционно из операторной. Способ удаления конденсата (откачка насосами, передавливание топливным или инертным газами и др.) определяется и обосновывается в проектной документации (документации на техническое перевооружение).</w:t>
      </w:r>
    </w:p>
    <w:bookmarkEnd w:id="72"/>
    <w:p w:rsidR="00000000" w:rsidRDefault="00616EF5">
      <w:r>
        <w:t>Способ безопасног</w:t>
      </w:r>
      <w:r>
        <w:t>о опорожнения сборников конденсата упрощенных факельных установок определяется проектной документацией (документацией на техническое перевооружение).</w:t>
      </w:r>
    </w:p>
    <w:p w:rsidR="00000000" w:rsidRDefault="00616EF5">
      <w:bookmarkStart w:id="73" w:name="sub_1064"/>
      <w:r>
        <w:t>64. Удаляемую из сепараторов жидкую фазу (конденсат) рекомендуется возвращать в технологический пр</w:t>
      </w:r>
      <w:r>
        <w:t>оцесс или направлять на утилизацию. Способы утилизации жидкостей рекомендуется устанавливать и обосновывать в проектной документации (документации на техническое перевооружение).</w:t>
      </w:r>
    </w:p>
    <w:p w:rsidR="00000000" w:rsidRDefault="00616EF5">
      <w:bookmarkStart w:id="74" w:name="sub_1065"/>
      <w:bookmarkEnd w:id="73"/>
      <w:r>
        <w:t>65. При использовании горелок для утилизации жидкой фазы (кон</w:t>
      </w:r>
      <w:r>
        <w:t xml:space="preserve">денсата) рекомендуется обеспечивать их индивидуальными дежурными (пилотными) горелками, датчиками погасания пламени и системами подачи воздуха в количестве, достаточном для полного </w:t>
      </w:r>
      <w:hyperlink w:anchor="sub_11002" w:history="1">
        <w:r>
          <w:rPr>
            <w:rStyle w:val="a4"/>
          </w:rPr>
          <w:t>бездымного сжигания</w:t>
        </w:r>
      </w:hyperlink>
      <w:r>
        <w:t xml:space="preserve"> подаваемой жидкости в предел</w:t>
      </w:r>
      <w:r>
        <w:t>ах расчетного состава и расхода. Выброс несгоревшей (или горящей) жидкости из горелок не допускается.</w:t>
      </w:r>
    </w:p>
    <w:p w:rsidR="00000000" w:rsidRDefault="00616EF5">
      <w:bookmarkStart w:id="75" w:name="sub_1066"/>
      <w:bookmarkEnd w:id="74"/>
      <w:r>
        <w:t>66. Вертикальные горелки для утилизации жидкой фазы (конденсата) рекомендуется устанавливать на высоте (на специальном сооружении).</w:t>
      </w:r>
    </w:p>
    <w:p w:rsidR="00000000" w:rsidRDefault="00616EF5">
      <w:bookmarkStart w:id="76" w:name="sub_1067"/>
      <w:bookmarkEnd w:id="75"/>
      <w:r>
        <w:t>67. При погасании дежурных (пилотных) горелок или горелок для сжигания жидкости рекомендуется автоматически прекращать подачу утилизируемой жидкой фазы на горелки.</w:t>
      </w:r>
    </w:p>
    <w:bookmarkEnd w:id="76"/>
    <w:p w:rsidR="00000000" w:rsidRDefault="00616EF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16EF5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Нумерация подразделов приводится в соответствии с источником</w:t>
      </w:r>
    </w:p>
    <w:p w:rsidR="00000000" w:rsidRDefault="00616EF5">
      <w:pPr>
        <w:pStyle w:val="1"/>
      </w:pPr>
      <w:bookmarkStart w:id="77" w:name="sub_10430"/>
      <w:r>
        <w:t>4.2. Насосы</w:t>
      </w:r>
    </w:p>
    <w:bookmarkEnd w:id="77"/>
    <w:p w:rsidR="00000000" w:rsidRDefault="00616EF5"/>
    <w:p w:rsidR="00000000" w:rsidRDefault="00616EF5">
      <w:bookmarkStart w:id="78" w:name="sub_1068"/>
      <w:r>
        <w:t>68. В случае использования насосов для откачки конденсата из факельного сепаратора (сборника конденсата) рекомендуется применять не менее двух насосов - один рабочий, один резервный.</w:t>
      </w:r>
    </w:p>
    <w:p w:rsidR="00000000" w:rsidRDefault="00616EF5">
      <w:bookmarkStart w:id="79" w:name="sub_1069"/>
      <w:bookmarkEnd w:id="78"/>
      <w:r>
        <w:t>69. Установка факе</w:t>
      </w:r>
      <w:r>
        <w:t>льного сепаратора и насосов по отношению друг к другу осуществляется исходя из условия обеспечения заполнения насосов конденсатом при его поступлении в сепаратор и исключения возникновения кавитации при работе насоса.</w:t>
      </w:r>
    </w:p>
    <w:p w:rsidR="00000000" w:rsidRDefault="00616EF5">
      <w:bookmarkStart w:id="80" w:name="sub_1070"/>
      <w:bookmarkEnd w:id="79"/>
      <w:r>
        <w:t>70. Для исключения зас</w:t>
      </w:r>
      <w:r>
        <w:t>тойных зон всасывающий трубопровод рекомендуется выполнять минимальной длины с уклоном в сторону насосов. Горизонтальные участки всасывающих трубопроводов рекомендуется располагать в нижней части насосов.</w:t>
      </w:r>
    </w:p>
    <w:p w:rsidR="00000000" w:rsidRDefault="00616EF5">
      <w:bookmarkStart w:id="81" w:name="sub_1071"/>
      <w:bookmarkEnd w:id="80"/>
      <w:r>
        <w:t>71. Рекомендуется избегать горизонт</w:t>
      </w:r>
      <w:r>
        <w:t>альных участков непосредственно после сепаратора (сборника конденсата), для чего выход всасывающего трубопровода из нижнего штуцера сепаратора (сборника конденсата) к насосу размещают вертикально вниз. Указываемые условия по прокладке трубопровода отражают</w:t>
      </w:r>
      <w:r>
        <w:t>ся в проектной документации.</w:t>
      </w:r>
    </w:p>
    <w:p w:rsidR="00000000" w:rsidRDefault="00616EF5">
      <w:bookmarkStart w:id="82" w:name="sub_1072"/>
      <w:bookmarkEnd w:id="81"/>
      <w:r>
        <w:t>72. В части воздействия климатических факторов внешней среды рекомендуется применять категорию размещения насосов 1 или 2.</w:t>
      </w:r>
    </w:p>
    <w:p w:rsidR="00000000" w:rsidRDefault="00616EF5">
      <w:bookmarkStart w:id="83" w:name="sub_1073"/>
      <w:bookmarkEnd w:id="82"/>
      <w:r>
        <w:t>73. В случае, если при снижении температуры окружающей среды возможно за</w:t>
      </w:r>
      <w:r>
        <w:t>мерзание (кристаллизация) конденсата или содержащейся в нем воды, для трубопроводов откачки конденсата и арматуры обвязки насосов рекомендуется предусматривать системы обогрева и тепловую изоляцию.</w:t>
      </w:r>
    </w:p>
    <w:p w:rsidR="00000000" w:rsidRDefault="00616EF5">
      <w:bookmarkStart w:id="84" w:name="sub_1074"/>
      <w:bookmarkEnd w:id="83"/>
      <w:r>
        <w:t>74. Включение и выключение насосов для отк</w:t>
      </w:r>
      <w:r>
        <w:t>ачки конденсата из сборников конденсата и факельных сепараторов рекомендуется предусматривать автоматическими, при этом должна быть также предусмотрена возможность управления насосами вручную по месту их установки и (или) дистанционно из операторной.</w:t>
      </w:r>
    </w:p>
    <w:bookmarkEnd w:id="84"/>
    <w:p w:rsidR="00000000" w:rsidRDefault="00616EF5">
      <w:r>
        <w:t xml:space="preserve">Пример схемы оснащения насосов для откачки углеводородов трубопроводами, контрольно-измерительными приборами и средствами автоматики представлен в </w:t>
      </w:r>
      <w:hyperlink w:anchor="sub_16000" w:history="1">
        <w:r>
          <w:rPr>
            <w:rStyle w:val="a4"/>
          </w:rPr>
          <w:t>приложении N 6</w:t>
        </w:r>
      </w:hyperlink>
      <w:r>
        <w:t xml:space="preserve"> к настоящему Руководству.</w:t>
      </w:r>
    </w:p>
    <w:p w:rsidR="00000000" w:rsidRDefault="00616EF5">
      <w:r>
        <w:t xml:space="preserve">Данная схема является рекомендуемой и </w:t>
      </w:r>
      <w:r>
        <w:t>может быть уточнена проектной организацией в ходе проектирования при условии обеспечения безопасности при эксплуатации факельной системы.</w:t>
      </w:r>
    </w:p>
    <w:p w:rsidR="00000000" w:rsidRDefault="00616EF5"/>
    <w:p w:rsidR="00000000" w:rsidRDefault="00616EF5">
      <w:pPr>
        <w:pStyle w:val="1"/>
      </w:pPr>
      <w:bookmarkStart w:id="85" w:name="sub_10500"/>
      <w:r>
        <w:t>5. Факельные установки</w:t>
      </w:r>
    </w:p>
    <w:bookmarkEnd w:id="85"/>
    <w:p w:rsidR="00000000" w:rsidRDefault="00616EF5"/>
    <w:p w:rsidR="00000000" w:rsidRDefault="00616EF5">
      <w:pPr>
        <w:pStyle w:val="1"/>
      </w:pPr>
      <w:bookmarkStart w:id="86" w:name="sub_10510"/>
      <w:r>
        <w:t>5.1. Общие рекомендации</w:t>
      </w:r>
    </w:p>
    <w:bookmarkEnd w:id="86"/>
    <w:p w:rsidR="00000000" w:rsidRDefault="00616EF5"/>
    <w:p w:rsidR="00000000" w:rsidRDefault="00616EF5">
      <w:bookmarkStart w:id="87" w:name="sub_1075"/>
      <w:r>
        <w:t>75. При работе факельной</w:t>
      </w:r>
      <w:r>
        <w:t xml:space="preserve"> установки рекомендуется обеспечивать стабильное горение в широком интервале расхода газов и паров, бездымное сжигание постоянных и периодических сбросов, безопасную плотность теплового потока, предотвращение попадания воздуха через верхний срез факельного</w:t>
      </w:r>
      <w:r>
        <w:t xml:space="preserve"> ствола и пропуска пламени.</w:t>
      </w:r>
    </w:p>
    <w:p w:rsidR="00000000" w:rsidRDefault="00616EF5">
      <w:bookmarkStart w:id="88" w:name="sub_1076"/>
      <w:bookmarkEnd w:id="87"/>
      <w:r>
        <w:t xml:space="preserve">76. Факельные установки могут включать в себя факельные трубопроводы, сепараторы, насосы, факельные стволы, оголовки или горелочные устройства, </w:t>
      </w:r>
      <w:hyperlink w:anchor="sub_11004" w:history="1">
        <w:r>
          <w:rPr>
            <w:rStyle w:val="a4"/>
          </w:rPr>
          <w:t>газовые затворы</w:t>
        </w:r>
      </w:hyperlink>
      <w:r>
        <w:t>, средства контроля и авто</w:t>
      </w:r>
      <w:r>
        <w:t>матизации, дистанционные запальные устройства, подводящие трубопроводы топливного и горючего газа, дежурные горелки с запальными устройствами, другие устройства, необходимые для обеспечения безопасного сжигания сбросов. Конкретный состав оборудования факел</w:t>
      </w:r>
      <w:r>
        <w:t>ьных систем определяется и обосновывается проектом.</w:t>
      </w:r>
    </w:p>
    <w:bookmarkEnd w:id="88"/>
    <w:p w:rsidR="00000000" w:rsidRDefault="00616EF5"/>
    <w:p w:rsidR="00000000" w:rsidRDefault="00616EF5">
      <w:pPr>
        <w:pStyle w:val="1"/>
      </w:pPr>
      <w:bookmarkStart w:id="89" w:name="sub_10520"/>
      <w:r>
        <w:t>5.2. Вертикальные факельные установки</w:t>
      </w:r>
    </w:p>
    <w:bookmarkEnd w:id="89"/>
    <w:p w:rsidR="00000000" w:rsidRDefault="00616EF5"/>
    <w:p w:rsidR="00000000" w:rsidRDefault="00616EF5">
      <w:bookmarkStart w:id="90" w:name="sub_1077"/>
      <w:r>
        <w:t>77. Факельные стволы вертикальных факельных установок в зависимости от высоты рекомендуется выполнять отдельно стоящими без растяж</w:t>
      </w:r>
      <w:r>
        <w:t>ек или вышечной опоры, закрепленной растяжками (на одной или нескольких высотах), или установленными в строительных конструкциях.</w:t>
      </w:r>
    </w:p>
    <w:bookmarkEnd w:id="90"/>
    <w:p w:rsidR="00000000" w:rsidRDefault="00616EF5">
      <w:r>
        <w:t>При применении строительных конструкций допускается установка в одной конструкции нескольких факельных стволов различн</w:t>
      </w:r>
      <w:r>
        <w:t xml:space="preserve">ых факельных систем (высокого давления, низкого давления), в том числе факельного ствола резервной факельной установки. В этом случае рекомендуется применять конструкцию факельных стволов, обеспечивающих возможность обслуживания/ремонта </w:t>
      </w:r>
      <w:hyperlink w:anchor="sub_11033" w:history="1">
        <w:r>
          <w:rPr>
            <w:rStyle w:val="a4"/>
          </w:rPr>
          <w:t>факельных оголовков</w:t>
        </w:r>
      </w:hyperlink>
      <w:r>
        <w:t xml:space="preserve"> на уровне земли; зона проведения работ должна быть оборудована защитным экраном (навесом), обеспечивающим защиту персонала, занятого съемом/установкой факельного оголовка и выполнением ремонтных работ, независимо от направления ветра (горящего факела).</w:t>
      </w:r>
    </w:p>
    <w:p w:rsidR="00000000" w:rsidRDefault="00616EF5">
      <w:bookmarkStart w:id="91" w:name="sub_1078"/>
      <w:r>
        <w:t>78. Конструкцию ствола и факельного оголовка рекомендуется выбирать исходя из условия обеспечения стабильного (без отрыва пламени) горения факела при принятых условиях сброса (скорость потока, теплотворная способность сбрасываемых газов и паров и пр.</w:t>
      </w:r>
      <w:r>
        <w:t>).</w:t>
      </w:r>
    </w:p>
    <w:p w:rsidR="00000000" w:rsidRDefault="00616EF5">
      <w:bookmarkStart w:id="92" w:name="sub_1079"/>
      <w:bookmarkEnd w:id="91"/>
      <w:r>
        <w:t>79. Для защиты пламени от ветрового воздействия рекомендуется использовать ветрозащитные устройства.</w:t>
      </w:r>
    </w:p>
    <w:p w:rsidR="00000000" w:rsidRDefault="00616EF5">
      <w:bookmarkStart w:id="93" w:name="sub_1080"/>
      <w:bookmarkEnd w:id="92"/>
      <w:r>
        <w:t>80. Не рекомендуется контакт пламени факела с корпусом оголовка. В случае необходимости рекомендуется предусматривать ус</w:t>
      </w:r>
      <w:r>
        <w:t>тройства для предотвращения повреждения оголовка касающимся пламенем при снижении расхода сбросных газов, например, оголовки переменного сечения.</w:t>
      </w:r>
    </w:p>
    <w:p w:rsidR="00000000" w:rsidRDefault="00616EF5">
      <w:bookmarkStart w:id="94" w:name="sub_1081"/>
      <w:bookmarkEnd w:id="93"/>
      <w:r>
        <w:t>81. Факельную установку рекомендуется оснащать сепаратором, гидрозатвором, насосами, устройством для отвода конденсата, газовым затвором. При наличии в сбросных газах и парах твердых и смолистых веществ, которые, отлагаясь, уменьшают площадь проходного сеч</w:t>
      </w:r>
      <w:r>
        <w:t>ения газового затвора, последний рекомендуется не устанавливать (обосновывается в проектной документации (документации на техническое перевооружение)).</w:t>
      </w:r>
    </w:p>
    <w:p w:rsidR="00000000" w:rsidRDefault="00616EF5">
      <w:bookmarkStart w:id="95" w:name="sub_1082"/>
      <w:bookmarkEnd w:id="94"/>
      <w:r>
        <w:t>82. В случае сброса газов, в которых пламя может распространяться вследствие их экзотерм</w:t>
      </w:r>
      <w:r>
        <w:t>ического разложения без окислителя (ацетилен, его гомологи, окись этилена и др.), факельную установку рекомендуется оснащать огнепреградителями.</w:t>
      </w:r>
    </w:p>
    <w:p w:rsidR="00000000" w:rsidRDefault="00616EF5">
      <w:bookmarkStart w:id="96" w:name="sub_1083"/>
      <w:bookmarkEnd w:id="95"/>
      <w:r>
        <w:t>83. При сбросе углеводородных газов и паров (за исключением некоптящих газов) рекомендуется пре</w:t>
      </w:r>
      <w:r>
        <w:t>дусматривать решения, обеспечивающие бездымное сжигание постоянных и периодических сбросов. Увеличение полноты сгорания может достигаться:</w:t>
      </w:r>
    </w:p>
    <w:bookmarkEnd w:id="96"/>
    <w:p w:rsidR="00000000" w:rsidRDefault="00616EF5">
      <w:r>
        <w:t>подачей воздуха или водяного пара (количество пара определяется расчетом исходя из условия обеспечения бездым</w:t>
      </w:r>
      <w:r>
        <w:t>ного сжигания постоянных сбросов);</w:t>
      </w:r>
    </w:p>
    <w:p w:rsidR="00000000" w:rsidRDefault="00616EF5">
      <w:r>
        <w:t>использованием оголовков кинетического сжигания с устройствами забора воздуха;</w:t>
      </w:r>
    </w:p>
    <w:p w:rsidR="00000000" w:rsidRDefault="00616EF5">
      <w:r>
        <w:t xml:space="preserve">регулированием соотношения скорости сброса к скорости звука, при котором обеспечивается интенсивное смешение с воздухом и необходимая полнота </w:t>
      </w:r>
      <w:r>
        <w:t>сгорания (рекомендуемое соотношение более 0,2);</w:t>
      </w:r>
    </w:p>
    <w:p w:rsidR="00000000" w:rsidRDefault="00616EF5">
      <w:r>
        <w:t>другими решениями, обеспечивающими бездымное сжигание сбросов.</w:t>
      </w:r>
    </w:p>
    <w:p w:rsidR="00000000" w:rsidRDefault="00616EF5">
      <w:r>
        <w:t>Технические решения, обеспечивающие бездымное сжигание сбрасываемых газов и паров, разрабатываются и обосновываются в проектной документации.</w:t>
      </w:r>
    </w:p>
    <w:p w:rsidR="00000000" w:rsidRDefault="00616EF5">
      <w:bookmarkStart w:id="97" w:name="sub_1084"/>
      <w:r>
        <w:t>84. Дежурные (пилотные) горелки с запальными устройствами рекомендуется устанавливать на факельном оголовке. Число горелок определяется разработчиком и изготовителем оголовка на основании исходных данных проектировщика. Рекомендованное количество горе</w:t>
      </w:r>
      <w:r>
        <w:t xml:space="preserve">лок в зависимости от диаметра факельного оголовка приведено в </w:t>
      </w:r>
      <w:hyperlink w:anchor="sub_100" w:history="1">
        <w:r>
          <w:rPr>
            <w:rStyle w:val="a4"/>
          </w:rPr>
          <w:t>таблице N 1</w:t>
        </w:r>
      </w:hyperlink>
      <w:r>
        <w:t>. При этом рекомендуется учитывать, что при использовании одной дежурной (пилотной) горелки и ее отказе возможен полный отказ факельной установки.</w:t>
      </w:r>
    </w:p>
    <w:bookmarkEnd w:id="97"/>
    <w:p w:rsidR="00000000" w:rsidRDefault="00616EF5"/>
    <w:p w:rsidR="00000000" w:rsidRDefault="00616EF5">
      <w:pPr>
        <w:ind w:firstLine="698"/>
        <w:jc w:val="right"/>
      </w:pPr>
      <w:bookmarkStart w:id="98" w:name="sub_100"/>
      <w:r>
        <w:rPr>
          <w:rStyle w:val="a3"/>
        </w:rPr>
        <w:t>Таблица N 1</w:t>
      </w:r>
    </w:p>
    <w:bookmarkEnd w:id="98"/>
    <w:p w:rsidR="00000000" w:rsidRDefault="00616EF5"/>
    <w:p w:rsidR="00000000" w:rsidRDefault="00616EF5">
      <w:pPr>
        <w:pStyle w:val="1"/>
      </w:pPr>
      <w:r>
        <w:t>Рекомендуемое число горелок</w:t>
      </w:r>
    </w:p>
    <w:p w:rsidR="00000000" w:rsidRDefault="00616E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6"/>
        <w:gridCol w:w="1476"/>
        <w:gridCol w:w="1476"/>
        <w:gridCol w:w="1476"/>
        <w:gridCol w:w="1475"/>
        <w:gridCol w:w="14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9"/>
            </w:pPr>
            <w:r>
              <w:t>Диаметр факельного оголовка, мм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10-250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300-550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550-1100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1100-1600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более 1600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9"/>
            </w:pPr>
            <w:r>
              <w:t>Число горелок (не менее), шт.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5</w:t>
            </w:r>
          </w:p>
        </w:tc>
      </w:tr>
    </w:tbl>
    <w:p w:rsidR="00000000" w:rsidRDefault="00616EF5"/>
    <w:p w:rsidR="00000000" w:rsidRDefault="00616EF5">
      <w:bookmarkStart w:id="99" w:name="sub_1085"/>
      <w:r>
        <w:t xml:space="preserve">85. При определении количества дежурных (пилотных) горелок рекомендуется учитывать, что для сбросов газов и паров с низкой теплотворной способностью может потребоваться большее количество горелок, чем рекомендовано в </w:t>
      </w:r>
      <w:hyperlink w:anchor="sub_100" w:history="1">
        <w:r>
          <w:rPr>
            <w:rStyle w:val="a4"/>
          </w:rPr>
          <w:t>таблице N 1</w:t>
        </w:r>
      </w:hyperlink>
      <w:r>
        <w:t>.</w:t>
      </w:r>
    </w:p>
    <w:p w:rsidR="00000000" w:rsidRDefault="00616EF5">
      <w:bookmarkStart w:id="100" w:name="sub_1086"/>
      <w:bookmarkEnd w:id="99"/>
      <w:r>
        <w:t>86. При количестве дежурных (пилотных) горелок менее трех рекомендуется предусматривать ветровую защиту для предотвращения их погасания.</w:t>
      </w:r>
    </w:p>
    <w:p w:rsidR="00000000" w:rsidRDefault="00616EF5">
      <w:bookmarkStart w:id="101" w:name="sub_1087"/>
      <w:bookmarkEnd w:id="100"/>
      <w:r>
        <w:t>87. При определении максимальной скорости сбросных газов (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8.6pt">
            <v:imagedata r:id="rId18" o:title=""/>
          </v:shape>
        </w:pict>
      </w:r>
      <w:r>
        <w:t xml:space="preserve">, </w:t>
      </w:r>
      <w:hyperlink w:anchor="sub_17000" w:history="1">
        <w:r>
          <w:rPr>
            <w:rStyle w:val="a4"/>
          </w:rPr>
          <w:t>приложение N 7</w:t>
        </w:r>
      </w:hyperlink>
      <w:r>
        <w:t>) на срезе факельного оголовка рекомендуется руководствоваться характеристиками, определенными изготовителем факельного оголовка. Превышение отношения скорости истечения сбросов на срезе факельного оголовка к</w:t>
      </w:r>
      <w:r>
        <w:t xml:space="preserve"> скорости звука в сбрасываемом газе </w:t>
      </w:r>
      <w:r>
        <w:pict>
          <v:shape id="_x0000_i1026" type="#_x0000_t75" style="width:22.8pt;height:20.4pt">
            <v:imagedata r:id="rId19" o:title=""/>
          </v:shape>
        </w:pict>
      </w:r>
      <w:r>
        <w:t xml:space="preserve"> более 0,95 не рекомендуется.</w:t>
      </w:r>
    </w:p>
    <w:bookmarkEnd w:id="101"/>
    <w:p w:rsidR="00000000" w:rsidRDefault="00616EF5">
      <w:r>
        <w:t>В любом случае конструкция факельного оголовка должна обеспечивать стабильную работу при любых условиях сброса и окружающей среды без отрыва пламен</w:t>
      </w:r>
      <w:r>
        <w:t>и.</w:t>
      </w:r>
    </w:p>
    <w:p w:rsidR="00000000" w:rsidRDefault="00616EF5">
      <w:bookmarkStart w:id="102" w:name="sub_1088"/>
      <w:r>
        <w:t>88. К факельному стволу рекомендуется обеспечивать подвод топливного газа для дежурных (пилотных) горелок, а к устройству зажигания пламени - топливного газа и воздуха для приготовления запальной смеси. Для исключения конденсации паров воды и ее</w:t>
      </w:r>
      <w:r>
        <w:t xml:space="preserve"> замерзания в трубопроводах в холодное время года топливный газ и воздух рекомендуется осушать или подавать по обогреваемым трубопроводам.</w:t>
      </w:r>
    </w:p>
    <w:p w:rsidR="00000000" w:rsidRDefault="00616EF5">
      <w:bookmarkStart w:id="103" w:name="sub_1089"/>
      <w:bookmarkEnd w:id="102"/>
      <w:r>
        <w:t>89. Для обеспечения работоспособности горелок рекомендуется предусматривать систему их автоматическог</w:t>
      </w:r>
      <w:r>
        <w:t>о розжига и контроль наличия пламени с сигнализацией погасания горелок на АРМ оператора.</w:t>
      </w:r>
    </w:p>
    <w:bookmarkEnd w:id="103"/>
    <w:p w:rsidR="00000000" w:rsidRDefault="00616EF5">
      <w:r>
        <w:t>Для автоматического розжига рекомендуется применять, но не ограничиваясь ими, следующие системы розжига:</w:t>
      </w:r>
    </w:p>
    <w:p w:rsidR="00000000" w:rsidRDefault="00616EF5">
      <w:r>
        <w:t>непосредственный искровой розжиг горелки;</w:t>
      </w:r>
    </w:p>
    <w:p w:rsidR="00000000" w:rsidRDefault="00616EF5">
      <w:r>
        <w:t>искровой роз</w:t>
      </w:r>
      <w:r>
        <w:t>жиг топливовоздушной смеси перед пилотной горелкой;</w:t>
      </w:r>
    </w:p>
    <w:p w:rsidR="00000000" w:rsidRDefault="00616EF5">
      <w:r>
        <w:t>генератор фронта пламени со сжатым воздухом;</w:t>
      </w:r>
    </w:p>
    <w:p w:rsidR="00000000" w:rsidRDefault="00616EF5">
      <w:r>
        <w:t>самовсасывающий генератор фронта пламени.</w:t>
      </w:r>
    </w:p>
    <w:p w:rsidR="00000000" w:rsidRDefault="00616EF5">
      <w:bookmarkStart w:id="104" w:name="sub_1090"/>
      <w:r>
        <w:t>90. Для дистанционного поджигания упрощенных факельных установок (в том числе при продувке скважин, освобожде</w:t>
      </w:r>
      <w:r>
        <w:t>нии магистральных трубопроводов и пр.) может использоваться специальное оборудование (специальное ружье или другое пиротехническое устройство), позволяющее надежно зажигать факел в случае его погасания с безопасного расстояния.</w:t>
      </w:r>
    </w:p>
    <w:p w:rsidR="00000000" w:rsidRDefault="00616EF5">
      <w:bookmarkStart w:id="105" w:name="sub_1091"/>
      <w:bookmarkEnd w:id="104"/>
      <w:r>
        <w:t>91. Высота ф</w:t>
      </w:r>
      <w:r>
        <w:t xml:space="preserve">акельного ствола определяется расчетом плотности теплового потока. Рекомендуемый расчет плотности теплового потока от пламени, минимального расстояния и высоты факельного ствола приведен в </w:t>
      </w:r>
      <w:hyperlink w:anchor="sub_17000" w:history="1">
        <w:r>
          <w:rPr>
            <w:rStyle w:val="a4"/>
          </w:rPr>
          <w:t>приложении N 7</w:t>
        </w:r>
      </w:hyperlink>
      <w:r>
        <w:t xml:space="preserve"> к настоящему Руководству.</w:t>
      </w:r>
    </w:p>
    <w:p w:rsidR="00000000" w:rsidRDefault="00616EF5">
      <w:bookmarkStart w:id="106" w:name="sub_1092"/>
      <w:bookmarkEnd w:id="105"/>
      <w:r>
        <w:t xml:space="preserve">92. При определении высоты факельного ствола кроме плотности теплового потока рекомендуется также учитывать возможное загрязнение окружающей территории вредными продуктами сгорания согласно требованиям нормативно-технических документов, а </w:t>
      </w:r>
      <w:r>
        <w:t>также возможность зажигания пламенем факела выбросов горючих и взрывоопасных веществ при авариях на соседних технологических установках.</w:t>
      </w:r>
    </w:p>
    <w:p w:rsidR="00000000" w:rsidRDefault="00616EF5">
      <w:bookmarkStart w:id="107" w:name="sub_1093"/>
      <w:bookmarkEnd w:id="106"/>
      <w:r>
        <w:t>93. Рекомендуется предусмотреть меры по предупреждению подсоса воздуха в факельный коллектор, например,</w:t>
      </w:r>
      <w:r>
        <w:t xml:space="preserve"> путем установки гидрозатвора. В целях предупреждения подсоса воздуха в факельный коллектор (трубопровод) рекомендуется предусматривать меры защиты, например, устанавливать перед факельным стволом гидрозатвор с постоянным протоком затворной жидкости.</w:t>
      </w:r>
    </w:p>
    <w:p w:rsidR="00000000" w:rsidRDefault="00616EF5">
      <w:bookmarkStart w:id="108" w:name="sub_1094"/>
      <w:bookmarkEnd w:id="107"/>
      <w:r>
        <w:t>94. Для предотвращения возможности замерзания затворной жидкости гидрозатворы рекомендуется оборудовать системами обогрева или размещать их в отапливаемом помещении.</w:t>
      </w:r>
    </w:p>
    <w:bookmarkEnd w:id="108"/>
    <w:p w:rsidR="00000000" w:rsidRDefault="00616EF5">
      <w:r>
        <w:t>При техническом обосновании в проекте гидрозатвор не рекомендуется уста</w:t>
      </w:r>
      <w:r>
        <w:t>навливать при следующих условиях:</w:t>
      </w:r>
    </w:p>
    <w:p w:rsidR="00000000" w:rsidRDefault="00616EF5">
      <w:r>
        <w:t>температура сбросных газов и паров близка к температуре замерзания или кипения затворной жидкости;</w:t>
      </w:r>
    </w:p>
    <w:p w:rsidR="00000000" w:rsidRDefault="00616EF5">
      <w:r>
        <w:t>разрежение у основания факельного ствола не более 500 Па.</w:t>
      </w:r>
    </w:p>
    <w:p w:rsidR="00000000" w:rsidRDefault="00616EF5">
      <w:bookmarkStart w:id="109" w:name="sub_1095"/>
      <w:r>
        <w:t>95. Лестницы и площадки по высоте факельного ствола устанавливаются таким образом, чтобы обеспечить удобство и безопасность при монтаже и ремонте факельного оголовка и другого оборудования, расположенного на разной высоте.</w:t>
      </w:r>
    </w:p>
    <w:p w:rsidR="00000000" w:rsidRDefault="00616EF5">
      <w:bookmarkStart w:id="110" w:name="sub_1096"/>
      <w:bookmarkEnd w:id="109"/>
      <w:r>
        <w:t>96. Материал факе</w:t>
      </w:r>
      <w:r>
        <w:t>льного оголовка, дежурных горелок, обвязочных трубопроводов, а также деталей крепления рекомендуется выбирать с учетом температуры возможного их нагрева от теплового излучения факела.</w:t>
      </w:r>
    </w:p>
    <w:p w:rsidR="00000000" w:rsidRDefault="00616EF5">
      <w:bookmarkStart w:id="111" w:name="sub_1097"/>
      <w:bookmarkEnd w:id="110"/>
      <w:r>
        <w:t>97. Обвязочные трубопроводы на участке факельного оголов</w:t>
      </w:r>
      <w:r>
        <w:t>ка рекомендуется выполнять из стальных бесшовных труб.</w:t>
      </w:r>
    </w:p>
    <w:p w:rsidR="00000000" w:rsidRDefault="00616EF5">
      <w:bookmarkStart w:id="112" w:name="sub_1098"/>
      <w:bookmarkEnd w:id="111"/>
      <w:r>
        <w:t>98. Факельный ствол, сепараторы и гидрозатворы рекомендуется оснащать устройствами для отбора проб.</w:t>
      </w:r>
    </w:p>
    <w:p w:rsidR="00000000" w:rsidRDefault="00616EF5">
      <w:bookmarkStart w:id="113" w:name="sub_1099"/>
      <w:bookmarkEnd w:id="112"/>
      <w:r>
        <w:t>99. Сепаратор, устанавливаемый перед факельным стволом, при необходим</w:t>
      </w:r>
      <w:r>
        <w:t>ости (возможность замерзания/кристаллизации конденсата или воды) рекомендуется предусматривать с наружным обогревом. Также рекомендуется оборудовать сепаратор системой удаления конденсата, исключающей возможность попадания конденсата в факельный коллектор.</w:t>
      </w:r>
    </w:p>
    <w:p w:rsidR="00000000" w:rsidRDefault="00616EF5">
      <w:bookmarkStart w:id="114" w:name="sub_1100"/>
      <w:bookmarkEnd w:id="113"/>
      <w:r>
        <w:t>100. Работающие дежурные горелки допускается применять в качестве заградительных огней. На случай остановки факельной системы рекомендуется предусматривать стационарные или выдвижные специальные огни светового ограждения верха факельного с</w:t>
      </w:r>
      <w:r>
        <w:t>твола в соответствии с требованиями федеральных авиационных правил. При этом для сигнальных огней и электрических кабелей рекомендуется предусматривать защиту от теплового излучения и рассчитывать их на соответствующую температуру.</w:t>
      </w:r>
    </w:p>
    <w:bookmarkEnd w:id="114"/>
    <w:p w:rsidR="00000000" w:rsidRDefault="00616EF5"/>
    <w:p w:rsidR="00000000" w:rsidRDefault="00616EF5">
      <w:pPr>
        <w:pStyle w:val="1"/>
      </w:pPr>
      <w:bookmarkStart w:id="115" w:name="sub_10530"/>
      <w:r>
        <w:t>5.3. Г</w:t>
      </w:r>
      <w:r>
        <w:t>оризонтальные факельные установки</w:t>
      </w:r>
    </w:p>
    <w:bookmarkEnd w:id="115"/>
    <w:p w:rsidR="00000000" w:rsidRDefault="00616EF5"/>
    <w:p w:rsidR="00000000" w:rsidRDefault="00616EF5">
      <w:bookmarkStart w:id="116" w:name="sub_1101"/>
      <w:r>
        <w:t>101. Горизонтальные факельные установки применяются при продувке шлейфов скважин и технологических линий, при термической утилизации промышленных стоков, при освобождении трубопроводов обвязки и срабатыва</w:t>
      </w:r>
      <w:r>
        <w:t>нии предохранительных клапанов, при полном освобождении изотермических хранилищ со сжиженным углеводородным газом.</w:t>
      </w:r>
    </w:p>
    <w:p w:rsidR="00000000" w:rsidRDefault="00616EF5">
      <w:bookmarkStart w:id="117" w:name="sub_1102"/>
      <w:bookmarkEnd w:id="116"/>
      <w:r>
        <w:t xml:space="preserve">102. Рекомендуется выбирать конструкцию горелочного устройства, обеспечивающую достаточную инжекцию атмосферного воздуха для </w:t>
      </w:r>
      <w:r>
        <w:t>бездымного сжигания.</w:t>
      </w:r>
    </w:p>
    <w:p w:rsidR="00000000" w:rsidRDefault="00616EF5">
      <w:bookmarkStart w:id="118" w:name="sub_1103"/>
      <w:bookmarkEnd w:id="117"/>
      <w:r>
        <w:t>103. Рекомендуется выбирать горелочное устройство факельной установки с горизонтальным стволом, обеспечивающее тонкое распыление жидких продуктов, подаваемых для огневого обезвреживания, их смешение с воздухом и горючим</w:t>
      </w:r>
      <w:r>
        <w:t xml:space="preserve"> газом.</w:t>
      </w:r>
    </w:p>
    <w:p w:rsidR="00000000" w:rsidRDefault="00616EF5">
      <w:bookmarkStart w:id="119" w:name="sub_1104"/>
      <w:bookmarkEnd w:id="118"/>
      <w:r>
        <w:t>104. На кустах газовых скважин рекомендуется применять горелочные устройства простой конструкции, обеспечивающие сжигание продукта с наличием механических примесей и жидкостных пробок.</w:t>
      </w:r>
    </w:p>
    <w:p w:rsidR="00000000" w:rsidRDefault="00616EF5">
      <w:bookmarkStart w:id="120" w:name="sub_1105"/>
      <w:bookmarkEnd w:id="119"/>
      <w:r>
        <w:t>105. Горелочное устройство поме</w:t>
      </w:r>
      <w:r>
        <w:t>щается в факельном обваловании на безопасном расстоянии от производственных объектов. Обвалование предусматривается вместимостью не менее 1,5 объема возможного выброса жидкой фазы с учетом времени перекрытия и уклоном дна в направлении от горелочного устро</w:t>
      </w:r>
      <w:r>
        <w:t>йства.</w:t>
      </w:r>
    </w:p>
    <w:p w:rsidR="00000000" w:rsidRDefault="00616EF5">
      <w:bookmarkStart w:id="121" w:name="sub_1106"/>
      <w:bookmarkEnd w:id="120"/>
      <w:r>
        <w:t>106. В зонах неограниченного пребывания персонала вблизи факельного обвалования не рекомендуется превышение предельно допустимой плотности теплового потока. Для уменьшения теплового воздействия факела и восходящего потока продуктов с</w:t>
      </w:r>
      <w:r>
        <w:t>горания рекомендуется применять защитные экраны.</w:t>
      </w:r>
    </w:p>
    <w:p w:rsidR="00000000" w:rsidRDefault="00616EF5">
      <w:bookmarkStart w:id="122" w:name="sub_1107"/>
      <w:bookmarkEnd w:id="121"/>
      <w:r>
        <w:t>107. Факельные трубопроводы рекомендуется прокладывать с уклоном не менее 0,002 в сторону обвалования. При невозможности выполнения данной рекомендации в пониженных местах устанавливается дре</w:t>
      </w:r>
      <w:r>
        <w:t>нажная арматура.</w:t>
      </w:r>
    </w:p>
    <w:p w:rsidR="00000000" w:rsidRDefault="00616EF5">
      <w:bookmarkStart w:id="123" w:name="sub_1108"/>
      <w:bookmarkEnd w:id="122"/>
      <w:r>
        <w:t>108. Расстояние от обвалования до зданий, сооружений и других мест возможного размещения персонала рекомендуется определять исходя из расчетов рассеивания вредных выбросов при сжигании газовых и газожидкостных сбросов при н</w:t>
      </w:r>
      <w:r>
        <w:t>аиболее неблагоприятных условиях эксплуатации (сильном ветре в направлении от обвалования на промышленный объект, наибольшей производительности факельной установки).</w:t>
      </w:r>
    </w:p>
    <w:p w:rsidR="00000000" w:rsidRDefault="00616EF5">
      <w:bookmarkStart w:id="124" w:name="sub_1109"/>
      <w:bookmarkEnd w:id="123"/>
      <w:r>
        <w:t>109. Превышение токсичности продуктов сгорания величин, нормируемых для то</w:t>
      </w:r>
      <w:r>
        <w:t>пок газоиспользующих установок, не рекомендуется.</w:t>
      </w:r>
    </w:p>
    <w:p w:rsidR="00000000" w:rsidRDefault="00616EF5">
      <w:bookmarkStart w:id="125" w:name="sub_1110"/>
      <w:bookmarkEnd w:id="124"/>
      <w:r>
        <w:t>110. Для обвалования и шкафов управления горизонтальной факельной установки рекомендуется предусматривать защиту от несанкционированного доступа персонала.</w:t>
      </w:r>
    </w:p>
    <w:bookmarkEnd w:id="125"/>
    <w:p w:rsidR="00000000" w:rsidRDefault="00616EF5"/>
    <w:p w:rsidR="00000000" w:rsidRDefault="00616EF5">
      <w:pPr>
        <w:pStyle w:val="1"/>
      </w:pPr>
      <w:bookmarkStart w:id="126" w:name="sub_10540"/>
      <w:r>
        <w:t>5.4. Закрытые (н</w:t>
      </w:r>
      <w:r>
        <w:t>аземные) факельные установки</w:t>
      </w:r>
    </w:p>
    <w:bookmarkEnd w:id="126"/>
    <w:p w:rsidR="00000000" w:rsidRDefault="00616EF5"/>
    <w:p w:rsidR="00000000" w:rsidRDefault="00616EF5">
      <w:bookmarkStart w:id="127" w:name="sub_1111"/>
      <w:r>
        <w:t xml:space="preserve">111. Закрытые (наземные) факельные установки предназначены для бездымного сжигания сбросных газов и жидкостей возле поверхности земли. Закрытая факельная установка может включать в себя открытую сверху камеру </w:t>
      </w:r>
      <w:r>
        <w:t>сжигания с футерованными стенками, защищающими горелочные устройства от ветрового воздействия.</w:t>
      </w:r>
    </w:p>
    <w:p w:rsidR="00000000" w:rsidRDefault="00616EF5">
      <w:bookmarkStart w:id="128" w:name="sub_1112"/>
      <w:bookmarkEnd w:id="127"/>
      <w:r>
        <w:t xml:space="preserve">112. Рекомендуется выбирать факельную установку, обеспечивающую полное сжигание и отсутствие видимого пламени, а также снижение шума и теплового </w:t>
      </w:r>
      <w:r>
        <w:t>излучения в соответствии с действующими нормами. Учитывая низкую пропускную способность закрытых (наземных) факельных установок, возможность их применения рекомендуется обосновывать проектной документацией (документацией на техническое перевооружение).</w:t>
      </w:r>
    </w:p>
    <w:p w:rsidR="00000000" w:rsidRDefault="00616EF5">
      <w:bookmarkStart w:id="129" w:name="sub_1113"/>
      <w:bookmarkEnd w:id="128"/>
      <w:r>
        <w:t>113. Для закрытых (наземных) факельных установок рекомендуется предусматривать ограждение камеры сжигания, снижающее ветровое воздействие на процесс горения и предотвращающее неконтролируемый доступ воздуха.</w:t>
      </w:r>
    </w:p>
    <w:p w:rsidR="00000000" w:rsidRDefault="00616EF5">
      <w:bookmarkStart w:id="130" w:name="sub_1114"/>
      <w:bookmarkEnd w:id="129"/>
      <w:r>
        <w:t>114. Необходимый во</w:t>
      </w:r>
      <w:r>
        <w:t>здушный поток в камеру сгорания закрытой (наземной) факельной установки и выход потока горячих дымовых газов из камеры сгорания рекомендуется обеспечивать с использованием естественной или принудительной тяги. Для снижения температуры продуктов сгорания ре</w:t>
      </w:r>
      <w:r>
        <w:t>комендуется предусмотреть поступление избыточного воздуха.</w:t>
      </w:r>
    </w:p>
    <w:p w:rsidR="00000000" w:rsidRDefault="00616EF5">
      <w:bookmarkStart w:id="131" w:name="sub_1115"/>
      <w:bookmarkEnd w:id="130"/>
      <w:r>
        <w:t>115. При определении места расположения факельной установки и высоты ограждения рекомендуется учитывать возможность воспламенения облаков топливовоздушных смесей, образующихся при в</w:t>
      </w:r>
      <w:r>
        <w:t>озникновении аварийной ситуации, связанных с разгерметизацией оборудования и выбросом взрывопожароопасных веществ, на технологических объектах (установках, резервуарных парках и пр.).</w:t>
      </w:r>
    </w:p>
    <w:p w:rsidR="00000000" w:rsidRDefault="00616EF5">
      <w:bookmarkStart w:id="132" w:name="sub_1116"/>
      <w:bookmarkEnd w:id="131"/>
      <w:r>
        <w:t>116. Рекомендуется выбирать горелочный узел, который обеспечивает устойчивое горение для всех условий потока сбросного газа в рабочем диапазоне, не вызывая пульсаций горения и резонансных колебаний в камере сжигания.</w:t>
      </w:r>
    </w:p>
    <w:p w:rsidR="00000000" w:rsidRDefault="00616EF5">
      <w:bookmarkStart w:id="133" w:name="sub_1117"/>
      <w:bookmarkEnd w:id="132"/>
      <w:r>
        <w:t>117. В процессе эксплуа</w:t>
      </w:r>
      <w:r>
        <w:t>тации рекомендуется обеспечивать однородный воздушный поток и его равномерное распределение по горелкам.</w:t>
      </w:r>
    </w:p>
    <w:p w:rsidR="00000000" w:rsidRDefault="00616EF5">
      <w:bookmarkStart w:id="134" w:name="sub_1118"/>
      <w:bookmarkEnd w:id="133"/>
      <w:r>
        <w:t>118. В случае принудительной подачи воздуха рекомендуется предусматривать устройства регулировки, обеспечивающие тягу, исключающую иска</w:t>
      </w:r>
      <w:r>
        <w:t>жение пламени факела и появление вибраций.</w:t>
      </w:r>
    </w:p>
    <w:p w:rsidR="00000000" w:rsidRDefault="00616EF5">
      <w:bookmarkStart w:id="135" w:name="sub_1119"/>
      <w:bookmarkEnd w:id="134"/>
      <w:r>
        <w:t>119. Допускается направлять для сжигания сбросы газов и паров с различными характеристиками параметров (состав, давление, температура и пр.) на одну закрытую (наземную) факельную установку. При это</w:t>
      </w:r>
      <w:r>
        <w:t>м рекомендуется учитывать:</w:t>
      </w:r>
    </w:p>
    <w:bookmarkEnd w:id="135"/>
    <w:p w:rsidR="00000000" w:rsidRDefault="00616EF5">
      <w:r>
        <w:t>факельная установка должна быть оснащена независимыми системами сжигания газов и паров с различными параметрами (состав, давление, температура и пр.);</w:t>
      </w:r>
    </w:p>
    <w:p w:rsidR="00000000" w:rsidRDefault="00616EF5">
      <w:r>
        <w:t>порядок безопасного проведения работ по техническому обслуживанию, рем</w:t>
      </w:r>
      <w:r>
        <w:t>онту, замене соответствующих элементов систем, а также максимально допустимое время выполнения данных работ должны быть определены инструкциями изготовителя факельной установки и отражены в рабочих инструкциях;</w:t>
      </w:r>
    </w:p>
    <w:p w:rsidR="00000000" w:rsidRDefault="00616EF5">
      <w:r>
        <w:t>плотность теплового потока в местах нахождени</w:t>
      </w:r>
      <w:r>
        <w:t>я персонала и иных лиц, осуществляющих работы по технологическому обслуживанию, ремонту или замене элементов факельной установки, не должна превышать допустимых значений;</w:t>
      </w:r>
    </w:p>
    <w:p w:rsidR="00000000" w:rsidRDefault="00616EF5">
      <w:r>
        <w:t xml:space="preserve">при невозможности поддерживать допустимую плотность теплового потока персонал должен </w:t>
      </w:r>
      <w:r>
        <w:t>допускаться к работе только при наличии соответствующей защитной одежды; тип защитной одежды выбирается в зависимости от максимального значения плотности теплового потока на рабочих местах и времени нахождения персонала в опасной зоне.</w:t>
      </w:r>
    </w:p>
    <w:p w:rsidR="00000000" w:rsidRDefault="00616EF5">
      <w:bookmarkStart w:id="136" w:name="sub_1120"/>
      <w:r>
        <w:t>120. Срок сл</w:t>
      </w:r>
      <w:r>
        <w:t>ужбы корпуса и футеровки закрытой (наземной) факельной установки должен превышать межремонтный срок службы оборудования и трубопроводов, подключенных к факельной установке. Ремонт/замену элементов факельной установки рекомендуется осуществлять в соответств</w:t>
      </w:r>
      <w:r>
        <w:t>ии с инструкциями разработчика (изготовителя) факельной установки.</w:t>
      </w:r>
    </w:p>
    <w:bookmarkEnd w:id="136"/>
    <w:p w:rsidR="00000000" w:rsidRDefault="00616EF5"/>
    <w:p w:rsidR="00000000" w:rsidRDefault="00616EF5">
      <w:pPr>
        <w:pStyle w:val="1"/>
      </w:pPr>
      <w:bookmarkStart w:id="137" w:name="sub_10550"/>
      <w:r>
        <w:t>5.5. Многогорелочные (многостадийные) наземные факельные установки</w:t>
      </w:r>
    </w:p>
    <w:bookmarkEnd w:id="137"/>
    <w:p w:rsidR="00000000" w:rsidRDefault="00616EF5"/>
    <w:p w:rsidR="00000000" w:rsidRDefault="00616EF5">
      <w:bookmarkStart w:id="138" w:name="sub_1121"/>
      <w:r>
        <w:t>121. В случае, когда вертикальная факельная установка не может обеспечить безопасное с</w:t>
      </w:r>
      <w:r>
        <w:t>жигание при большом диапазоне расходов постоянных, периодических и аварийных сбросов, особенно на факельных установках высокого давления рекомендуется применять многогорелочные (многостадийные) системы сжигания сбросов, которые обеспечивают подключение оче</w:t>
      </w:r>
      <w:r>
        <w:t>редной стадии (горелки) по мере увеличения давления в факельной системе.</w:t>
      </w:r>
    </w:p>
    <w:bookmarkEnd w:id="138"/>
    <w:p w:rsidR="00000000" w:rsidRDefault="00616EF5">
      <w:r>
        <w:t xml:space="preserve">Рекомендуемая схема сброса газов и паров при использовании многогорелочных (многостадийных) систем приведена в </w:t>
      </w:r>
      <w:hyperlink w:anchor="sub_18000" w:history="1">
        <w:r>
          <w:rPr>
            <w:rStyle w:val="a4"/>
          </w:rPr>
          <w:t>приложении N 8</w:t>
        </w:r>
      </w:hyperlink>
      <w:r>
        <w:t xml:space="preserve"> к настоящему Руководст</w:t>
      </w:r>
      <w:r>
        <w:t>ву.</w:t>
      </w:r>
    </w:p>
    <w:p w:rsidR="00000000" w:rsidRDefault="00616EF5">
      <w:bookmarkStart w:id="139" w:name="sub_1122"/>
      <w:r>
        <w:t>122. Данные системы рекомендуется применять как в составе закрытых (наземных) факельных установок, так и в составе многогорелочных (многостадийных) наземных факельных установок, когда горелки каждой стадии расположены на уровне земли на отдельн</w:t>
      </w:r>
      <w:r>
        <w:t>ой, специально выделенной для этого площадке.</w:t>
      </w:r>
    </w:p>
    <w:p w:rsidR="00000000" w:rsidRDefault="00616EF5">
      <w:bookmarkStart w:id="140" w:name="sub_1123"/>
      <w:bookmarkEnd w:id="139"/>
      <w:r>
        <w:t>123. Многогорелочные (многостадийные) наземные факелы установки с несколькими горелками могут быть скомпонованы в группы, расположенные вблизи уровня земли или на небольшом возвышении. Распредел</w:t>
      </w:r>
      <w:r>
        <w:t>ение сбросов по стадиям (группам стадий) рекомендуется осуществлять через манифольд.</w:t>
      </w:r>
    </w:p>
    <w:p w:rsidR="00000000" w:rsidRDefault="00616EF5">
      <w:bookmarkStart w:id="141" w:name="sub_1124"/>
      <w:bookmarkEnd w:id="140"/>
      <w:r>
        <w:t>124. Подключение очередной горелки при достижении соответствующей уставки давления осуществляется автоматически с помощью двухпозиционного клапана. Сигнали</w:t>
      </w:r>
      <w:r>
        <w:t>зацию о положении (открыто/закрыто), а также о неверном положении данного клапана рекомендуется выводить на автоматизированное рабочее место оператора факельной установки.</w:t>
      </w:r>
    </w:p>
    <w:p w:rsidR="00000000" w:rsidRDefault="00616EF5">
      <w:bookmarkStart w:id="142" w:name="sub_1125"/>
      <w:bookmarkEnd w:id="141"/>
      <w:r>
        <w:t>125. Для обеспечения поддержания работоспособности системы и обязате</w:t>
      </w:r>
      <w:r>
        <w:t>льного подключения следующей горелки в случае отказа двухпозиционного клапана, рекомендуется предусматривать байпас вокруг данного клапана с установкой на нем отказоустойчивого устройства сброса давления (например, разрывной мембраны).</w:t>
      </w:r>
    </w:p>
    <w:bookmarkEnd w:id="142"/>
    <w:p w:rsidR="00000000" w:rsidRDefault="00616EF5">
      <w:r>
        <w:t xml:space="preserve">Конструкция </w:t>
      </w:r>
      <w:r>
        <w:t>и расположение горелок должны обеспечивать возможность их безопасного отсечения и обслуживания.</w:t>
      </w:r>
    </w:p>
    <w:p w:rsidR="00000000" w:rsidRDefault="00616EF5">
      <w:bookmarkStart w:id="143" w:name="sub_1126"/>
      <w:r>
        <w:t>126. С целью проверки работоспособности двухпозиционных клапанов рекомендуется периодически (один раз в 2-3 месяца в зависимости от сбрасываемых веществ</w:t>
      </w:r>
      <w:r>
        <w:t>) проводить проверки кратковременным открытием с последующим закрытием.</w:t>
      </w:r>
    </w:p>
    <w:p w:rsidR="00000000" w:rsidRDefault="00616EF5">
      <w:bookmarkStart w:id="144" w:name="sub_1127"/>
      <w:bookmarkEnd w:id="143"/>
      <w:r>
        <w:t>127. Вся система подключения/отключения отдельных стадий должна работать автоматически.</w:t>
      </w:r>
    </w:p>
    <w:p w:rsidR="00000000" w:rsidRDefault="00616EF5">
      <w:bookmarkStart w:id="145" w:name="sub_1128"/>
      <w:bookmarkEnd w:id="144"/>
      <w:r>
        <w:t>128. При проектировании многогорелочных (многостадийных) наземны</w:t>
      </w:r>
      <w:r>
        <w:t>х факельных установок рекомендуется учитывать, что при падении давления в коллекторе перед закрытием двухпозиционного клапана существует возможность проскока пламени в коллектор после клапана и возникновение волны давления, которая может привести к разрыву</w:t>
      </w:r>
      <w:r>
        <w:t xml:space="preserve"> мембранных устройств ниже по потоку. Для защиты от этого рекомендуется перед закрытием двухпозиционного клапана предусматривать продувку стадии инертным газом.</w:t>
      </w:r>
    </w:p>
    <w:p w:rsidR="00000000" w:rsidRDefault="00616EF5">
      <w:bookmarkStart w:id="146" w:name="sub_1129"/>
      <w:bookmarkEnd w:id="145"/>
      <w:r>
        <w:t>129. Также рекомендуется учитывать возможные скачки давления и вибрацию, связан</w:t>
      </w:r>
      <w:r>
        <w:t>ные с разрывом мембраны.</w:t>
      </w:r>
    </w:p>
    <w:p w:rsidR="00000000" w:rsidRDefault="00616EF5">
      <w:bookmarkStart w:id="147" w:name="sub_1130"/>
      <w:bookmarkEnd w:id="146"/>
      <w:r>
        <w:t>130. При проектировании многогорелочных (многостадийных) наземных факельных установок, расположенных на специальных выделенных площадках, рекомендуется особое внимание уделять ветрозащитным ограждениям. Они должны о</w:t>
      </w:r>
      <w:r>
        <w:t>беспечивать защиту горелок от воздействия ветра и достаточное поступление воздуха для полного и безопасного сжигания сбросов, а также защищать территорию вокруг факельной установки от теплового воздействия.</w:t>
      </w:r>
    </w:p>
    <w:p w:rsidR="00000000" w:rsidRDefault="00616EF5">
      <w:bookmarkStart w:id="148" w:name="sub_1131"/>
      <w:bookmarkEnd w:id="147"/>
      <w:r>
        <w:t>131. При определении высоты ограж</w:t>
      </w:r>
      <w:r>
        <w:t>дения многогорелочных (многостадийных) наземных факельных установок рекомендуется учитывать и принимать специальные меры по недопущению воспламенения топливовоздушных облаков взрывопожароопасных веществ, образующихся при авариях на соседних технологических</w:t>
      </w:r>
      <w:r>
        <w:t xml:space="preserve"> объектах.</w:t>
      </w:r>
    </w:p>
    <w:p w:rsidR="00000000" w:rsidRDefault="00616EF5">
      <w:bookmarkStart w:id="149" w:name="sub_1132"/>
      <w:bookmarkEnd w:id="148"/>
      <w:r>
        <w:t>132. При подборе дежурных (пилотных) горелок большое внимание рекомендуется уделять их надежности с учетом возможности/невозможности их обслуживания и ремонта при работающей факельной установке. Количество дежурных (пилотных) гор</w:t>
      </w:r>
      <w:r>
        <w:t>елок на каждой стадии обосновывается и определяется проектом исходя из обеспечения надежного розжига всех горелок стадии.</w:t>
      </w:r>
    </w:p>
    <w:p w:rsidR="00000000" w:rsidRDefault="00616EF5">
      <w:bookmarkStart w:id="150" w:name="sub_1133"/>
      <w:bookmarkEnd w:id="149"/>
      <w:r>
        <w:t>133. Использование перекрестного розжига от пламени соседних горелок не рекомендуется, в связи с отказом факельной уст</w:t>
      </w:r>
      <w:r>
        <w:t>ановки при отсутствии воспламенения на одной из стадий.</w:t>
      </w:r>
    </w:p>
    <w:bookmarkEnd w:id="150"/>
    <w:p w:rsidR="00000000" w:rsidRDefault="00616EF5"/>
    <w:p w:rsidR="00000000" w:rsidRDefault="00616EF5">
      <w:pPr>
        <w:pStyle w:val="1"/>
      </w:pPr>
      <w:bookmarkStart w:id="151" w:name="sub_10600"/>
      <w:r>
        <w:t>6. Установка сбора углеводородных газов и паров и их утилизации</w:t>
      </w:r>
    </w:p>
    <w:bookmarkEnd w:id="151"/>
    <w:p w:rsidR="00000000" w:rsidRDefault="00616EF5"/>
    <w:p w:rsidR="00000000" w:rsidRDefault="00616EF5">
      <w:bookmarkStart w:id="152" w:name="sub_1134"/>
      <w:r>
        <w:t>134. При соответств</w:t>
      </w:r>
      <w:r>
        <w:t>ующем обосновании в составе факельной системы рекомендуется предусматривать специальные установки для сбора, кратковременного хранения и возврата в целях дальнейшего использования сбрасываемых углеводородных газов и паров.</w:t>
      </w:r>
    </w:p>
    <w:p w:rsidR="00000000" w:rsidRDefault="00616EF5">
      <w:bookmarkStart w:id="153" w:name="sub_1135"/>
      <w:bookmarkEnd w:id="152"/>
      <w:r>
        <w:t>135. В процессе с</w:t>
      </w:r>
      <w:r>
        <w:t>бора углеводородных газов и паров рекомендуется учитывать следующие условия:</w:t>
      </w:r>
    </w:p>
    <w:bookmarkEnd w:id="153"/>
    <w:p w:rsidR="00000000" w:rsidRDefault="00616EF5">
      <w:r>
        <w:t xml:space="preserve">применять газгольдеры переменного или постоянного объема, обеспечивающие прием сбросных газов и паров в течение 5-10 мин в количестве, определенном согласно </w:t>
      </w:r>
      <w:hyperlink w:anchor="sub_1050" w:history="1">
        <w:r>
          <w:rPr>
            <w:rStyle w:val="a4"/>
          </w:rPr>
          <w:t>пунктам 50-52</w:t>
        </w:r>
      </w:hyperlink>
      <w:r>
        <w:t xml:space="preserve"> настоящего Руководства;</w:t>
      </w:r>
    </w:p>
    <w:p w:rsidR="00000000" w:rsidRDefault="00616EF5">
      <w:r>
        <w:t>скорость подъема колокола (газгольдера переменного объема) выбирается с учетом требований по безопасной эксплуатации, техническому обслуживанию мокрых газгольдеров, предназначенных для горючих газов;</w:t>
      </w:r>
    </w:p>
    <w:p w:rsidR="00000000" w:rsidRDefault="00616EF5">
      <w:r>
        <w:t>газовы</w:t>
      </w:r>
      <w:r>
        <w:t>й конденсат, собирающийся в верхнем слое бассейна мокрых газгольдеров, рекомендуется отводить в отстойники конденсата;</w:t>
      </w:r>
    </w:p>
    <w:p w:rsidR="00000000" w:rsidRDefault="00616EF5">
      <w:r>
        <w:t>воду из отстойников рекомендуется отводить в соответствующую систему промышленных стоков предприятия для последующей очистки;</w:t>
      </w:r>
    </w:p>
    <w:p w:rsidR="00000000" w:rsidRDefault="00616EF5">
      <w:r>
        <w:t>сепарационн</w:t>
      </w:r>
      <w:r>
        <w:t>ую аппаратуру в нижней части рекомендуется оборудовать наружным обогревом и тепловой изоляцией;</w:t>
      </w:r>
    </w:p>
    <w:p w:rsidR="00000000" w:rsidRDefault="00616EF5">
      <w:r>
        <w:t>применять установку сбора углеводородных газов и паров, имеющую резерв оборудования для обеспечения устойчивой и безаварийной работы.</w:t>
      </w:r>
    </w:p>
    <w:p w:rsidR="00000000" w:rsidRDefault="00616EF5"/>
    <w:p w:rsidR="00000000" w:rsidRDefault="00616EF5">
      <w:pPr>
        <w:pStyle w:val="1"/>
      </w:pPr>
      <w:bookmarkStart w:id="154" w:name="sub_10700"/>
      <w:r>
        <w:t xml:space="preserve">7. Рекомендации </w:t>
      </w:r>
      <w:r>
        <w:t>по расположению факельных систем</w:t>
      </w:r>
    </w:p>
    <w:bookmarkEnd w:id="154"/>
    <w:p w:rsidR="00000000" w:rsidRDefault="00616EF5"/>
    <w:p w:rsidR="00000000" w:rsidRDefault="00616EF5">
      <w:bookmarkStart w:id="155" w:name="sub_1136"/>
      <w:r>
        <w:t>136. Факельную установку рекомендуется размещать с учетом розы ветров, последствий возможных аварий на близлежащих технологических объектах и минимальной длины факельных коллекторов (трубопроводов).</w:t>
      </w:r>
    </w:p>
    <w:p w:rsidR="00000000" w:rsidRDefault="00616EF5">
      <w:bookmarkStart w:id="156" w:name="sub_1137"/>
      <w:bookmarkEnd w:id="155"/>
      <w:r>
        <w:t xml:space="preserve">137. В случае, если границы зон с повышенной плотностью теплового потока для человека, не защищенного </w:t>
      </w:r>
      <w:hyperlink w:anchor="sub_11020" w:history="1">
        <w:r>
          <w:rPr>
            <w:rStyle w:val="a4"/>
          </w:rPr>
          <w:t>специальной одеждой</w:t>
        </w:r>
      </w:hyperlink>
      <w:r>
        <w:t xml:space="preserve"> (выше 1,4 кВт/м2), выходят за границы ограждения эксплуатирующей организации, рекомендуется разра</w:t>
      </w:r>
      <w:r>
        <w:t>батывать специальные меры (технические и/или организационные), направленные на предотвращение поражения третьих лиц, которые могут оказаться в зоне теплового воздействия факельной установки.</w:t>
      </w:r>
    </w:p>
    <w:p w:rsidR="00000000" w:rsidRDefault="00616EF5">
      <w:bookmarkStart w:id="157" w:name="sub_1138"/>
      <w:bookmarkEnd w:id="156"/>
      <w:r>
        <w:t>138. Отдельную или специальную факельную установк</w:t>
      </w:r>
      <w:r>
        <w:t xml:space="preserve">у рекомендуется размещать на территории технологической установки с учетом рекомендаций </w:t>
      </w:r>
      <w:hyperlink w:anchor="sub_10500" w:history="1">
        <w:r>
          <w:rPr>
            <w:rStyle w:val="a4"/>
          </w:rPr>
          <w:t>подраздела</w:t>
        </w:r>
      </w:hyperlink>
      <w:r>
        <w:t xml:space="preserve"> "Факельные установки" настоящего Руководства.</w:t>
      </w:r>
    </w:p>
    <w:p w:rsidR="00000000" w:rsidRDefault="00616EF5">
      <w:bookmarkStart w:id="158" w:name="sub_1139"/>
      <w:bookmarkEnd w:id="157"/>
      <w:r>
        <w:t xml:space="preserve">139. Расстояния между факельным стволом (для вертикальных факельных </w:t>
      </w:r>
      <w:r>
        <w:t xml:space="preserve">установок) или ограждением/обвалованием (для наземных </w:t>
      </w:r>
      <w:hyperlink w:anchor="sub_11029" w:history="1">
        <w:r>
          <w:rPr>
            <w:rStyle w:val="a4"/>
          </w:rPr>
          <w:t>факельных установок: закрытых</w:t>
        </w:r>
      </w:hyperlink>
      <w:r>
        <w:t>, ступенчатых, горизонтальных, если они спроектированы с высоким тепловым излучением на ограждении/обваловании) и складами, зданиями, сооружениями</w:t>
      </w:r>
      <w:r>
        <w:t>, трансформаторными подстанциями и другими объектами рекомендуется определять с учетом условий эксплуатации факельной установки, допустимой плотности теплового потока и требований нормативных документов по пожарной безопасности.</w:t>
      </w:r>
    </w:p>
    <w:bookmarkEnd w:id="158"/>
    <w:p w:rsidR="00000000" w:rsidRDefault="00616EF5">
      <w:r>
        <w:t>Расстояние между ук</w:t>
      </w:r>
      <w:r>
        <w:t>азанными объектами и факельным стволом при расположении его непосредственно на территории технологической установки рекомендуется рассчитывать исходя только из допустимой плотности теплового потока.</w:t>
      </w:r>
    </w:p>
    <w:p w:rsidR="00000000" w:rsidRDefault="00616EF5">
      <w:r>
        <w:t>При определении места расположения наземных факельных уст</w:t>
      </w:r>
      <w:r>
        <w:t>ановок (</w:t>
      </w:r>
      <w:hyperlink w:anchor="sub_11028" w:history="1">
        <w:r>
          <w:rPr>
            <w:rStyle w:val="a4"/>
          </w:rPr>
          <w:t>горизонтальных</w:t>
        </w:r>
      </w:hyperlink>
      <w:r>
        <w:t xml:space="preserve">, закрытых, многогорелочных) рекомендуется дополнительно учитывать возможность зажигания пламенем горелочных устройств выбросов воспламеняющихся и </w:t>
      </w:r>
      <w:hyperlink w:anchor="sub_11005" w:history="1">
        <w:r>
          <w:rPr>
            <w:rStyle w:val="a4"/>
          </w:rPr>
          <w:t>горючих веществ</w:t>
        </w:r>
      </w:hyperlink>
      <w:r>
        <w:t xml:space="preserve"> при авариях на со</w:t>
      </w:r>
      <w:r>
        <w:t>седних технологических объектах. При необходимости сокращения расстояний до объектов рекомендуется предусматривать дополнительные защитные меры.</w:t>
      </w:r>
    </w:p>
    <w:p w:rsidR="00000000" w:rsidRDefault="00616EF5">
      <w:bookmarkStart w:id="159" w:name="sub_1140"/>
      <w:r>
        <w:t>140. Для обеспечения безопасности ремонта или обслуживания факельных оголовков, расположенных на отдель</w:t>
      </w:r>
      <w:r>
        <w:t>но стоящих факельных стволах, расстояние между факельными стволами рекомендуется принимать таким, чтобы плотность теплового потока от работающего факела на ремонтируемом факельном оголовке не превышала допустимую.</w:t>
      </w:r>
    </w:p>
    <w:bookmarkEnd w:id="159"/>
    <w:p w:rsidR="00000000" w:rsidRDefault="00616EF5">
      <w:r>
        <w:t>В целях уменьшения теплового возде</w:t>
      </w:r>
      <w:r>
        <w:t>йствия на персонал лестницы на факельных стволах рекомендуется располагать на стороне, противоположной соседним факельным стволам.</w:t>
      </w:r>
    </w:p>
    <w:p w:rsidR="00000000" w:rsidRDefault="00616EF5">
      <w:bookmarkStart w:id="160" w:name="sub_1141"/>
      <w:r>
        <w:t>141. Материалы технических устройств, зданий и сооружений рекомендуется выбирать с учетом приходящего на них тепловог</w:t>
      </w:r>
      <w:r>
        <w:t>о воздействия от факельной установки.</w:t>
      </w:r>
    </w:p>
    <w:p w:rsidR="00000000" w:rsidRDefault="00616EF5">
      <w:bookmarkStart w:id="161" w:name="sub_1142"/>
      <w:bookmarkEnd w:id="160"/>
      <w:r>
        <w:t>142. Территорию факельной установки, за исключением случаев расположения ее на территории технологического объекта, рекомендуется ограждать. Размеры зоны в пределах ограждения факельной установки опреде</w:t>
      </w:r>
      <w:r>
        <w:t>ляют с учетом плотности теплового потока от факела.</w:t>
      </w:r>
    </w:p>
    <w:p w:rsidR="00000000" w:rsidRDefault="00616EF5">
      <w:bookmarkStart w:id="162" w:name="sub_1143"/>
      <w:bookmarkEnd w:id="161"/>
      <w:r>
        <w:t xml:space="preserve">143. Плотность теплового потока на границе ограждения факельной установки должна приниматься в соответствии с </w:t>
      </w:r>
      <w:hyperlink w:anchor="sub_17000" w:history="1">
        <w:r>
          <w:rPr>
            <w:rStyle w:val="a4"/>
          </w:rPr>
          <w:t>приложением N 7</w:t>
        </w:r>
      </w:hyperlink>
      <w:r>
        <w:t>.</w:t>
      </w:r>
    </w:p>
    <w:p w:rsidR="00000000" w:rsidRDefault="00616EF5">
      <w:bookmarkStart w:id="163" w:name="sub_1144"/>
      <w:bookmarkEnd w:id="162"/>
      <w:r>
        <w:t>144. Внутри огражд</w:t>
      </w:r>
      <w:r>
        <w:t>ения рекомендуется предусматривать подъездные дороги и проходы с целью обеспечения подъезда техники и прохода персонала для ремонта и обслуживания оборудования, расположенного внутри ограждения. Подъездные дороги и проходы для персонала до оборудования дол</w:t>
      </w:r>
      <w:r>
        <w:t>жны быть наиболее короткими.</w:t>
      </w:r>
    </w:p>
    <w:p w:rsidR="00000000" w:rsidRDefault="00616EF5">
      <w:bookmarkStart w:id="164" w:name="sub_1145"/>
      <w:bookmarkEnd w:id="163"/>
      <w:r>
        <w:t>145. Площадки обслуживания оборудования, установленного внутри ограждения, рекомендуется оборудовать навесами для защиты персонала от теплового излучения факела.</w:t>
      </w:r>
    </w:p>
    <w:p w:rsidR="00000000" w:rsidRDefault="00616EF5">
      <w:bookmarkStart w:id="165" w:name="sub_1146"/>
      <w:bookmarkEnd w:id="164"/>
      <w:r>
        <w:t xml:space="preserve">146. Возможность и необходимость </w:t>
      </w:r>
      <w:r>
        <w:t>размещения оборудования факельной установки (сепараторы, сборники конденсата, насосы и пр.) внутри зоны ограждения факельной установки обосновывается проектом. При этом материал оборудования, теплоизоляции, применяемые электрооборудование, средства контрол</w:t>
      </w:r>
      <w:r>
        <w:t>я и автоматизации должны выбираться с учетом максимальной плотности теплового потока в местах размещения оборудования или должны быть предусмотрены соответствующие меры защиты.</w:t>
      </w:r>
    </w:p>
    <w:bookmarkEnd w:id="165"/>
    <w:p w:rsidR="00000000" w:rsidRDefault="00616EF5"/>
    <w:p w:rsidR="00000000" w:rsidRDefault="00616EF5">
      <w:pPr>
        <w:pStyle w:val="1"/>
      </w:pPr>
      <w:bookmarkStart w:id="166" w:name="sub_10800"/>
      <w:r>
        <w:t>8. Контрольно-измерительные приборы и средства автоматизации</w:t>
      </w:r>
    </w:p>
    <w:bookmarkEnd w:id="166"/>
    <w:p w:rsidR="00000000" w:rsidRDefault="00616EF5"/>
    <w:p w:rsidR="00000000" w:rsidRDefault="00616EF5">
      <w:bookmarkStart w:id="167" w:name="sub_1147"/>
      <w:r>
        <w:t>147. Контроль работы факельных систем и дистанционное управление ими осуществляются:</w:t>
      </w:r>
    </w:p>
    <w:bookmarkEnd w:id="167"/>
    <w:p w:rsidR="00000000" w:rsidRDefault="00616EF5">
      <w:r>
        <w:t>для общей факельной системы - из</w:t>
      </w:r>
      <w:r>
        <w:t xml:space="preserve"> центральной операторной, собственной операторной или из операторной одной из близкорасположенных технологических установок, сбрасывающих газ в общую факельную систему;</w:t>
      </w:r>
    </w:p>
    <w:p w:rsidR="00000000" w:rsidRDefault="00616EF5">
      <w:r>
        <w:t xml:space="preserve">для отдельной и специальной факельных систем - из операторной одной из технологических </w:t>
      </w:r>
      <w:r>
        <w:t>установок, сбрасывающих газ в указанные факельные системы.</w:t>
      </w:r>
    </w:p>
    <w:p w:rsidR="00000000" w:rsidRDefault="00616EF5">
      <w:bookmarkStart w:id="168" w:name="sub_1148"/>
      <w:r>
        <w:t>148. Факельные системы рекомендуется оборудовать техническими средствами, обеспечивающими постоянную регистрацию (с выводом показаний в помещение управления) следующих данных:</w:t>
      </w:r>
    </w:p>
    <w:bookmarkEnd w:id="168"/>
    <w:p w:rsidR="00000000" w:rsidRDefault="00616EF5">
      <w:r>
        <w:t>расхо</w:t>
      </w:r>
      <w:r>
        <w:t xml:space="preserve">д </w:t>
      </w:r>
      <w:hyperlink w:anchor="sub_11014" w:history="1">
        <w:r>
          <w:rPr>
            <w:rStyle w:val="a4"/>
          </w:rPr>
          <w:t>продувочного газа</w:t>
        </w:r>
      </w:hyperlink>
      <w:r>
        <w:t xml:space="preserve"> в факельный коллектор и газовый затвор;</w:t>
      </w:r>
    </w:p>
    <w:p w:rsidR="00000000" w:rsidRDefault="00616EF5">
      <w:r>
        <w:t>уровень жидкости в сепараторах, сборниках конденсата;</w:t>
      </w:r>
    </w:p>
    <w:p w:rsidR="00000000" w:rsidRDefault="00616EF5">
      <w:r>
        <w:t>уровень жидкости в факельном гидрозатворе;</w:t>
      </w:r>
    </w:p>
    <w:p w:rsidR="00000000" w:rsidRDefault="00616EF5">
      <w:r>
        <w:t>количество сбросных газов и паров, а также конденсата, возвращаемых с ус</w:t>
      </w:r>
      <w:r>
        <w:t>тановки сбора углеводородных газов и паров;</w:t>
      </w:r>
    </w:p>
    <w:p w:rsidR="00000000" w:rsidRDefault="00616EF5">
      <w:r>
        <w:t>давление на различных участках факельного коллектора и у основания факельного ствола;</w:t>
      </w:r>
    </w:p>
    <w:p w:rsidR="00000000" w:rsidRDefault="00616EF5">
      <w:r>
        <w:t>концентрация кислорода или других компонентов, определяющих взрывоопасность сбросных газов;</w:t>
      </w:r>
    </w:p>
    <w:p w:rsidR="00000000" w:rsidRDefault="00616EF5">
      <w:r>
        <w:t>температура газов и паров, поступа</w:t>
      </w:r>
      <w:r>
        <w:t>ющих в газгольдер;</w:t>
      </w:r>
    </w:p>
    <w:p w:rsidR="00000000" w:rsidRDefault="00616EF5">
      <w:r>
        <w:t>температура жидкости в факельном гидрозатворе.</w:t>
      </w:r>
    </w:p>
    <w:p w:rsidR="00000000" w:rsidRDefault="00616EF5">
      <w:r>
        <w:t>Достаточность принятых мер рекомендуется обосновывать в проекте.</w:t>
      </w:r>
    </w:p>
    <w:p w:rsidR="00000000" w:rsidRDefault="00616EF5">
      <w:bookmarkStart w:id="169" w:name="sub_1149"/>
      <w:r>
        <w:t>149. Факельные системы рекомендуется оснащать средствами сигнализации (с выводом сигналов в помещение управления), ср</w:t>
      </w:r>
      <w:r>
        <w:t>абатывающими при достижении следующих параметров:</w:t>
      </w:r>
    </w:p>
    <w:bookmarkEnd w:id="169"/>
    <w:p w:rsidR="00000000" w:rsidRDefault="00616EF5">
      <w:r>
        <w:t>минимально допустимый расход продувочного газа в коллектор и газовый затвор;</w:t>
      </w:r>
    </w:p>
    <w:p w:rsidR="00000000" w:rsidRDefault="00616EF5">
      <w:r>
        <w:t>минимально допустимое давление или расход топливного газа на дежурные (пилотные) горелки;</w:t>
      </w:r>
    </w:p>
    <w:p w:rsidR="00000000" w:rsidRDefault="00616EF5">
      <w:r>
        <w:t>погасание пламени дежурных (пил</w:t>
      </w:r>
      <w:r>
        <w:t>отных) горелок;</w:t>
      </w:r>
    </w:p>
    <w:p w:rsidR="00000000" w:rsidRDefault="00616EF5">
      <w:r>
        <w:t>образование разрежения у основания факельного ствола, равного или более 1000 Па;</w:t>
      </w:r>
    </w:p>
    <w:p w:rsidR="00000000" w:rsidRDefault="00616EF5">
      <w:r>
        <w:t>минимально и максимально допустимые уровни жидкости в сепараторах и сборниках конденсата;</w:t>
      </w:r>
    </w:p>
    <w:p w:rsidR="00000000" w:rsidRDefault="00616EF5">
      <w:r>
        <w:t>минимально допустимый уровень жидкости в факельных гидрозатворах;</w:t>
      </w:r>
    </w:p>
    <w:p w:rsidR="00000000" w:rsidRDefault="00616EF5">
      <w:r>
        <w:t>мак</w:t>
      </w:r>
      <w:r>
        <w:t>симально допустимая температура газов, поступающих в газгольдер;</w:t>
      </w:r>
    </w:p>
    <w:p w:rsidR="00000000" w:rsidRDefault="00616EF5">
      <w:r>
        <w:t>минимально допустимая температура в факельных гидрозатворах;</w:t>
      </w:r>
    </w:p>
    <w:p w:rsidR="00000000" w:rsidRDefault="00616EF5">
      <w:r>
        <w:t>включение насосов по откачке конденсата;</w:t>
      </w:r>
    </w:p>
    <w:p w:rsidR="00000000" w:rsidRDefault="00616EF5">
      <w:r>
        <w:t>включение компрессоров;</w:t>
      </w:r>
    </w:p>
    <w:p w:rsidR="00000000" w:rsidRDefault="00616EF5">
      <w:r>
        <w:t>наличие горючих газов и паров в количестве 20% нижнего концентрац</w:t>
      </w:r>
      <w:r>
        <w:t>ионного предела распространения пламени в помещениях компрессорной, гидрозатвора с дублированием звукового и светового сигналов и расположением указанных средств сигнализации над входной дверью, а также на наружных установках в местах размещения газгольдер</w:t>
      </w:r>
      <w:r>
        <w:t>ов, сепараторов, насосов.</w:t>
      </w:r>
    </w:p>
    <w:p w:rsidR="00000000" w:rsidRDefault="00616EF5">
      <w:r>
        <w:t xml:space="preserve">Рекомендуется средства сигнализации разрежения, если произведение разности плотностей воздуха </w:t>
      </w:r>
      <w:r>
        <w:pict>
          <v:shape id="_x0000_i1027" type="#_x0000_t75" style="width:49.8pt;height:24.6pt">
            <v:imagedata r:id="rId20" o:title=""/>
          </v:shape>
        </w:pict>
      </w:r>
      <w:r>
        <w:t xml:space="preserve"> и продувочного газа на высоту факельного ствола (м) превышает 100 </w:t>
      </w:r>
      <w:r>
        <w:pict>
          <v:shape id="_x0000_i1028" type="#_x0000_t75" style="width:49.8pt;height:24.6pt">
            <v:imagedata r:id="rId21" o:title=""/>
          </v:shape>
        </w:pict>
      </w:r>
      <w:r>
        <w:t>.</w:t>
      </w:r>
    </w:p>
    <w:p w:rsidR="00000000" w:rsidRDefault="00616EF5">
      <w:bookmarkStart w:id="170" w:name="sub_1150"/>
      <w:r>
        <w:t>150. Факельную установку рекомендуется укомплектовывать устройством дистанционного розжига и непрерывного дистанционного контроля наличия пламени, например, видеонаблюдение, а при термическом обезвреживании жидких промышленных отходов - соответс</w:t>
      </w:r>
      <w:r>
        <w:t>твующей системой автоматического управления.</w:t>
      </w:r>
    </w:p>
    <w:p w:rsidR="00000000" w:rsidRDefault="00616EF5">
      <w:bookmarkStart w:id="171" w:name="sub_1151"/>
      <w:bookmarkEnd w:id="170"/>
      <w:r>
        <w:t>151. Для контроля давления топливного газа и воздуха в системе зажигания и в линиях до регулирующих клапанов или вентилей, давления пара, уровня жидкости и температуры в сепараторах и сборниках к</w:t>
      </w:r>
      <w:r>
        <w:t>онденсата рекомендуется устанавливать дублирующие приборы по месту.</w:t>
      </w:r>
    </w:p>
    <w:p w:rsidR="00000000" w:rsidRDefault="00616EF5">
      <w:bookmarkStart w:id="172" w:name="sub_1152"/>
      <w:bookmarkEnd w:id="171"/>
      <w:r>
        <w:t>152. Факельную систему рекомендуется оснащать автоматическим регулированием давления топливного газа, подаваемого на дежурные горелки, и количества продувочного газа, подав</w:t>
      </w:r>
      <w:r>
        <w:t>аемого в начало факельного коллектора.</w:t>
      </w:r>
    </w:p>
    <w:p w:rsidR="00000000" w:rsidRDefault="00616EF5">
      <w:bookmarkStart w:id="173" w:name="sub_1153"/>
      <w:bookmarkEnd w:id="172"/>
      <w:r>
        <w:t>153. Факельные системы рекомендуется оснащать блокировками (с учетом инерционности срабатывания контрольно-измерительных приборов, средств автоматики и запорной арматуры), обеспечивающими:</w:t>
      </w:r>
    </w:p>
    <w:bookmarkEnd w:id="173"/>
    <w:p w:rsidR="00000000" w:rsidRDefault="00616EF5">
      <w:r>
        <w:t>подачу инертного газа в газовый затвор при разрежении в факельном коллекторе, равном или более 1000 Па;</w:t>
      </w:r>
    </w:p>
    <w:p w:rsidR="00000000" w:rsidRDefault="00616EF5">
      <w:r>
        <w:t>удаление конденсата из сепараторов и сборников конденсата (кроме имеющих постоянный слив через гидрозатвор) по достижении максимального уровня;</w:t>
      </w:r>
    </w:p>
    <w:p w:rsidR="00000000" w:rsidRDefault="00616EF5">
      <w:r>
        <w:t>открытие</w:t>
      </w:r>
      <w:r>
        <w:t xml:space="preserve"> электрозадвижки на линии сброса газов в факельную установку при заполнении газгольдера на 85% с одновременным закрытием электрозадвижки на линии поступления газа в газгольдер;</w:t>
      </w:r>
    </w:p>
    <w:p w:rsidR="00000000" w:rsidRDefault="00616EF5">
      <w:r>
        <w:t xml:space="preserve">открытие электрозадвижки на линии поступления газа в газгольдер при заполнении </w:t>
      </w:r>
      <w:r>
        <w:t>его на 70% с последующим закрытием электрозадвижки на линии сброса газов и паров в факельный ствол;</w:t>
      </w:r>
    </w:p>
    <w:p w:rsidR="00000000" w:rsidRDefault="00616EF5">
      <w:r>
        <w:t>остановку компрессоров при уменьшении объема газа в газгольдере до 10%;</w:t>
      </w:r>
    </w:p>
    <w:p w:rsidR="00000000" w:rsidRDefault="00616EF5">
      <w:r>
        <w:t>пуск компрессоров, схема управления которых предусматривает проведение этой операции</w:t>
      </w:r>
      <w:r>
        <w:t xml:space="preserve"> автоматически, или подачу сигнала, разрешающего ручной пуск при заполнении газгольдера не менее чем на 25%.</w:t>
      </w:r>
    </w:p>
    <w:p w:rsidR="00000000" w:rsidRDefault="00616EF5">
      <w:bookmarkStart w:id="174" w:name="sub_1154"/>
      <w:r>
        <w:t>154. Насосы для перекачки горючих жидкостей рекомендуется оснащать блокировками для обеспечения надежной и безаварийной работы, а также сре</w:t>
      </w:r>
      <w:r>
        <w:t>дствами предупредительной сигнализации о нарушении параметров работы, влияющих на безопасность.</w:t>
      </w:r>
    </w:p>
    <w:p w:rsidR="00000000" w:rsidRDefault="00616EF5">
      <w:bookmarkStart w:id="175" w:name="sub_1155"/>
      <w:bookmarkEnd w:id="174"/>
      <w:r>
        <w:t>155. В факельных системах складов жидкого аммиака для сельского хозяйства, находящихся на значительном расстоянии от населенных пунктов, помещен</w:t>
      </w:r>
      <w:r>
        <w:t>ия управления рекомендуется обеспечивать средствами дистанционного контроля и сигнализации достижения следующих значений параметров:</w:t>
      </w:r>
    </w:p>
    <w:bookmarkEnd w:id="175"/>
    <w:p w:rsidR="00000000" w:rsidRDefault="00616EF5">
      <w:r>
        <w:t>минимально допустимое давление инертного или топливного газа, подаваемого в газовый затвор;</w:t>
      </w:r>
    </w:p>
    <w:p w:rsidR="00000000" w:rsidRDefault="00616EF5">
      <w:r>
        <w:t>максимально и минимальн</w:t>
      </w:r>
      <w:r>
        <w:t>о допустимые уровни жидкости в сепараторе при удалении ее насосом;</w:t>
      </w:r>
    </w:p>
    <w:p w:rsidR="00000000" w:rsidRDefault="00616EF5">
      <w:r>
        <w:t>минимально допустимый уровень жидкости в гидрозатворе и максимально допустимый уровень в сборниках конденсата;</w:t>
      </w:r>
    </w:p>
    <w:p w:rsidR="00000000" w:rsidRDefault="00616EF5">
      <w:r>
        <w:t>разрежение у основания факельного ствола, равное или более 1000 Па.</w:t>
      </w:r>
    </w:p>
    <w:p w:rsidR="00000000" w:rsidRDefault="00616EF5">
      <w:bookmarkStart w:id="176" w:name="sub_1156"/>
      <w:r>
        <w:t>15</w:t>
      </w:r>
      <w:r>
        <w:t>6. Предусматривается также контроль давления по месту:</w:t>
      </w:r>
    </w:p>
    <w:bookmarkEnd w:id="176"/>
    <w:p w:rsidR="00000000" w:rsidRDefault="00616EF5">
      <w:r>
        <w:t>топливного газа и воздуха - в системе зажигания и в линиях до регулирующих клапанов или вентилей;</w:t>
      </w:r>
    </w:p>
    <w:p w:rsidR="00000000" w:rsidRDefault="00616EF5">
      <w:r>
        <w:t>продувочного газа, пара и воздуха - в сетях, подходящих к факельной установке.</w:t>
      </w:r>
    </w:p>
    <w:p w:rsidR="00000000" w:rsidRDefault="00616EF5">
      <w:bookmarkStart w:id="177" w:name="sub_1157"/>
      <w:r>
        <w:t>157. Уст</w:t>
      </w:r>
      <w:r>
        <w:t>ановка средств сигнализации и регистрации сбросов газа технологическими установками (секциями) рекомендуется на факельных системах нефтеперерабатывающих и нефтехимических предприятий в помещении управления.</w:t>
      </w:r>
    </w:p>
    <w:bookmarkEnd w:id="177"/>
    <w:p w:rsidR="00000000" w:rsidRDefault="00616EF5"/>
    <w:p w:rsidR="00000000" w:rsidRDefault="00616EF5">
      <w:pPr>
        <w:pStyle w:val="1"/>
      </w:pPr>
      <w:bookmarkStart w:id="178" w:name="sub_10900"/>
      <w:r>
        <w:t>9. Пуск и эксплуатация</w:t>
      </w:r>
    </w:p>
    <w:bookmarkEnd w:id="178"/>
    <w:p w:rsidR="00000000" w:rsidRDefault="00616EF5"/>
    <w:p w:rsidR="00000000" w:rsidRDefault="00616EF5">
      <w:bookmarkStart w:id="179" w:name="sub_1158"/>
      <w:r>
        <w:t xml:space="preserve">158. Перед каждым пуском факельную систему рекомендуется продуть инертным газом или легкими газами, чтобы содержание кислорода в факельном коллекторе у основания факельного ствола было не более 50% </w:t>
      </w:r>
      <w:hyperlink w:anchor="sub_11006" w:history="1">
        <w:r>
          <w:rPr>
            <w:rStyle w:val="a4"/>
          </w:rPr>
          <w:t>минимального взрывоопасн</w:t>
        </w:r>
        <w:r>
          <w:rPr>
            <w:rStyle w:val="a4"/>
          </w:rPr>
          <w:t>ого содержания кислорода</w:t>
        </w:r>
      </w:hyperlink>
      <w:r>
        <w:t xml:space="preserve"> в возможной смеси с горючим.</w:t>
      </w:r>
    </w:p>
    <w:bookmarkEnd w:id="179"/>
    <w:p w:rsidR="00000000" w:rsidRDefault="00616EF5">
      <w:r>
        <w:t>Для предотвращения попадания воздуха в факельную систему при продувке технологических установок азотом продувочные газы рекомендуется сбрасывать через сбросную трубу в атмосферу.</w:t>
      </w:r>
    </w:p>
    <w:p w:rsidR="00000000" w:rsidRDefault="00616EF5">
      <w:r>
        <w:t>В случае одн</w:t>
      </w:r>
      <w:r>
        <w:t>овременной продувки азотом всех технологических аппаратов, подсоединенных к факельной системе, для удаления воздуха рекомендуется сбрасывание продувочных газов в факельный ствол при погашенных горелках. Периодичность и порядок отбора проб для анализов опре</w:t>
      </w:r>
      <w:r>
        <w:t>деляется технологическим регламентом.</w:t>
      </w:r>
    </w:p>
    <w:p w:rsidR="00000000" w:rsidRDefault="00616EF5">
      <w:r>
        <w:t>Не рекомендуется сбрасывание продувочных газов в общую факельную систему.</w:t>
      </w:r>
    </w:p>
    <w:p w:rsidR="00000000" w:rsidRDefault="00616EF5">
      <w:bookmarkStart w:id="180" w:name="sub_1159"/>
      <w:r>
        <w:t>159. Для предотвращения попадания воздуха в факельную систему рекомендуется предусматривать подачу продувочного газа с интенсивностью, о</w:t>
      </w:r>
      <w:r>
        <w:t>беспечивающей следующие скорости потока в расчете на сечение факельного ствола под оголовком:</w:t>
      </w:r>
    </w:p>
    <w:bookmarkEnd w:id="180"/>
    <w:p w:rsidR="00000000" w:rsidRDefault="00616EF5">
      <w:r>
        <w:t>не менее 0,05 м/с - с газовым затвором;</w:t>
      </w:r>
    </w:p>
    <w:p w:rsidR="00000000" w:rsidRDefault="00616EF5">
      <w:r>
        <w:t xml:space="preserve">не менее 0,9 м/с - без газового затвора при плотности продувочного (топливного) газа 0,7 </w:t>
      </w:r>
      <w:r>
        <w:pict>
          <v:shape id="_x0000_i1029" type="#_x0000_t75" style="width:37.2pt;height:22.8pt">
            <v:imagedata r:id="rId22" o:title=""/>
          </v:shape>
        </w:pict>
      </w:r>
      <w:r>
        <w:t xml:space="preserve"> и более;</w:t>
      </w:r>
    </w:p>
    <w:p w:rsidR="00000000" w:rsidRDefault="00616EF5">
      <w:r>
        <w:t>не менее 0,7 м/с - без газового затвора при инертном продувочном газе (азоте).</w:t>
      </w:r>
    </w:p>
    <w:p w:rsidR="00000000" w:rsidRDefault="00616EF5">
      <w:r>
        <w:t>В факельных системах, не оборудованных газовыми затворами, не рекомендуется использовать в качестве продувочного газа топливный газ, плотность которого мене</w:t>
      </w:r>
      <w:r>
        <w:t xml:space="preserve">е 0,7 </w:t>
      </w:r>
      <w:r>
        <w:pict>
          <v:shape id="_x0000_i1030" type="#_x0000_t75" style="width:37.2pt;height:22.8pt">
            <v:imagedata r:id="rId23" o:title=""/>
          </v:shape>
        </w:pict>
      </w:r>
      <w:r>
        <w:t>.</w:t>
      </w:r>
    </w:p>
    <w:p w:rsidR="00000000" w:rsidRDefault="00616EF5">
      <w:bookmarkStart w:id="181" w:name="sub_1160"/>
      <w:r>
        <w:t>160. Перед прекращением сброса горючих газов и паров, нагретых до высокой температуры, рекомендуется обеспечить дополнительную подачу продувочного газа в целях предотвращения образования вакуума в факельной системе при охлаждении или конденсации. Дополните</w:t>
      </w:r>
      <w:r>
        <w:t>льная подача продувочного газа в факельную систему в зависимости от количества и температуры сбросных газов рассчитывается и обосновывается в проектной документации.</w:t>
      </w:r>
    </w:p>
    <w:p w:rsidR="00000000" w:rsidRDefault="00616EF5">
      <w:bookmarkStart w:id="182" w:name="sub_1161"/>
      <w:bookmarkEnd w:id="181"/>
      <w:r>
        <w:t>161. Перед проведением ремонтных работ факельную систему рекомендуется отс</w:t>
      </w:r>
      <w:r>
        <w:t>оединить стандартными заглушками от технологических установок и продуть азотом (при необходимости пропарить) до полного удаления горючих веществ с последующей продувкой воздухом до объемного содержания кислорода не менее 18% и содержания вредных веществ не</w:t>
      </w:r>
      <w:r>
        <w:t xml:space="preserve"> более предельно допустимой концентрации.</w:t>
      </w:r>
    </w:p>
    <w:bookmarkEnd w:id="182"/>
    <w:p w:rsidR="00000000" w:rsidRDefault="00616EF5">
      <w:r>
        <w:t>Конкретные мероприятия по обеспечению безопасности ремонтных работ рекомендуется разрабатывать в соответствии с требованиями порядка организации и проведения работ по техническому освидетельствованию и ремо</w:t>
      </w:r>
      <w:r>
        <w:t>нту факельных систем, утвержденного эксплуатирующей организацией.</w:t>
      </w:r>
    </w:p>
    <w:p w:rsidR="00000000" w:rsidRDefault="00616EF5">
      <w:bookmarkStart w:id="183" w:name="sub_1162"/>
      <w:r>
        <w:t>162. Ремонт факельных оголовков при расположении в общей зоне ограждения нескольких факельных стволов рекомендуется проводить в теплозащитном костюме. Проведение ремонта факельных ог</w:t>
      </w:r>
      <w:r>
        <w:t>оловков при расположении в общей зоне ограждения нескольких факельных стволов без теплозащитных костюмов рекомендуется только при полной остановке всех факельных стволов.</w:t>
      </w:r>
    </w:p>
    <w:p w:rsidR="00000000" w:rsidRDefault="00616EF5">
      <w:bookmarkStart w:id="184" w:name="sub_1163"/>
      <w:bookmarkEnd w:id="183"/>
      <w:r>
        <w:t>163. Не рекомендуется во время грозы находиться на площадке факельной</w:t>
      </w:r>
      <w:r>
        <w:t xml:space="preserve"> установки и прикасаться к металлическим частям и трубам.</w:t>
      </w:r>
    </w:p>
    <w:p w:rsidR="00000000" w:rsidRDefault="00616EF5">
      <w:bookmarkStart w:id="185" w:name="sub_1164"/>
      <w:bookmarkEnd w:id="184"/>
      <w:r>
        <w:t>164. В зоне ограждения факельной установки в целях обеспечения безопасности не рекомендуется находиться лицам, не связанным с эксплуатацией факельных систем.</w:t>
      </w:r>
    </w:p>
    <w:bookmarkEnd w:id="185"/>
    <w:p w:rsidR="00000000" w:rsidRDefault="00616EF5"/>
    <w:p w:rsidR="00000000" w:rsidRDefault="00616EF5">
      <w:pPr>
        <w:ind w:firstLine="698"/>
        <w:jc w:val="right"/>
      </w:pPr>
      <w:bookmarkStart w:id="186" w:name="sub_11000"/>
      <w:r>
        <w:rPr>
          <w:rStyle w:val="a3"/>
        </w:rPr>
        <w:t>Прилож</w:t>
      </w:r>
      <w:r>
        <w:rPr>
          <w:rStyle w:val="a3"/>
        </w:rPr>
        <w:t>ение N 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Руководству</w:t>
        </w:r>
      </w:hyperlink>
      <w:r>
        <w:rPr>
          <w:rStyle w:val="a3"/>
        </w:rPr>
        <w:t xml:space="preserve"> по безопасности</w:t>
      </w:r>
      <w:r>
        <w:rPr>
          <w:rStyle w:val="a3"/>
        </w:rPr>
        <w:br/>
        <w:t>факельных систем, утвержденному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Федеральной службы</w:t>
      </w:r>
      <w:r>
        <w:rPr>
          <w:rStyle w:val="a3"/>
        </w:rPr>
        <w:br/>
        <w:t>по экологическому, технологическому</w:t>
      </w:r>
      <w:r>
        <w:rPr>
          <w:rStyle w:val="a3"/>
        </w:rPr>
        <w:br/>
        <w:t>и атомному надзору</w:t>
      </w:r>
      <w:r>
        <w:rPr>
          <w:rStyle w:val="a3"/>
        </w:rPr>
        <w:br/>
        <w:t>от 22 декабря 2021 г. N 450</w:t>
      </w:r>
    </w:p>
    <w:bookmarkEnd w:id="186"/>
    <w:p w:rsidR="00000000" w:rsidRDefault="00616EF5"/>
    <w:p w:rsidR="00000000" w:rsidRDefault="00616EF5">
      <w:pPr>
        <w:pStyle w:val="1"/>
      </w:pPr>
      <w:r>
        <w:t>Термины и определения</w:t>
      </w:r>
    </w:p>
    <w:p w:rsidR="00000000" w:rsidRDefault="00616EF5"/>
    <w:p w:rsidR="00000000" w:rsidRDefault="00616EF5">
      <w:bookmarkStart w:id="187" w:name="sub_11001"/>
      <w:r>
        <w:rPr>
          <w:rStyle w:val="a3"/>
        </w:rPr>
        <w:t>Аварийные сбросы</w:t>
      </w:r>
      <w:r>
        <w:t xml:space="preserve"> - горючие газы и пары, поступающие в факельную систему при срабатывании рабочих предохранительных клапанов и (или) других устройств аварийного сброса.</w:t>
      </w:r>
    </w:p>
    <w:p w:rsidR="00000000" w:rsidRDefault="00616EF5">
      <w:bookmarkStart w:id="188" w:name="sub_11002"/>
      <w:bookmarkEnd w:id="187"/>
      <w:r>
        <w:rPr>
          <w:rStyle w:val="a3"/>
        </w:rPr>
        <w:t>Бездымное сжигание</w:t>
      </w:r>
      <w:r>
        <w:t xml:space="preserve"> - сжигание горючих </w:t>
      </w:r>
      <w:r>
        <w:t>газов и паров, при котором количество выбросов вредных и токсичных продуктов неполного сгорания, меньше разрешенных в соответствии с международными соглашениями и законодательством Российской Федерации. Прозрачность выбросов при бездымном горении не должна</w:t>
      </w:r>
      <w:r>
        <w:t xml:space="preserve"> превышать коэффициента 1 по </w:t>
      </w:r>
      <w:hyperlink w:anchor="sub_11036" w:history="1">
        <w:r>
          <w:rPr>
            <w:rStyle w:val="a4"/>
          </w:rPr>
          <w:t>шкале Рингельмана</w:t>
        </w:r>
      </w:hyperlink>
      <w:r>
        <w:t xml:space="preserve"> ("шкала Рингельмана").</w:t>
      </w:r>
    </w:p>
    <w:p w:rsidR="00000000" w:rsidRDefault="00616EF5">
      <w:bookmarkStart w:id="189" w:name="sub_11003"/>
      <w:bookmarkEnd w:id="188"/>
      <w:r>
        <w:rPr>
          <w:rStyle w:val="a3"/>
        </w:rPr>
        <w:t>Вредные вещества</w:t>
      </w:r>
      <w:r>
        <w:t xml:space="preserve"> - вещества, свойства которых соответствуют показателям, установленным </w:t>
      </w:r>
      <w:hyperlink r:id="rId24" w:history="1">
        <w:r>
          <w:rPr>
            <w:rStyle w:val="a4"/>
          </w:rPr>
          <w:t>ГОСТ 12.1.007-76</w:t>
        </w:r>
      </w:hyperlink>
      <w:r>
        <w:t>* "ССБТ. Вредные вещества. Классификация и общие требования безопасности", утвержденным постановлением Госстандарта СССР от 10 марта 1976 г. N 579.</w:t>
      </w:r>
    </w:p>
    <w:p w:rsidR="00000000" w:rsidRDefault="00616EF5">
      <w:bookmarkStart w:id="190" w:name="sub_11004"/>
      <w:bookmarkEnd w:id="189"/>
      <w:r>
        <w:rPr>
          <w:rStyle w:val="a3"/>
        </w:rPr>
        <w:t>Газовый затвор</w:t>
      </w:r>
      <w:r>
        <w:t xml:space="preserve"> - устройство для предотвращения попадания во</w:t>
      </w:r>
      <w:r>
        <w:t>здуха в факельную систему через верхний срез факельного ствола при снижении расхода продувочного газа.</w:t>
      </w:r>
    </w:p>
    <w:p w:rsidR="00000000" w:rsidRDefault="00616EF5">
      <w:bookmarkStart w:id="191" w:name="sub_11005"/>
      <w:bookmarkEnd w:id="190"/>
      <w:r>
        <w:rPr>
          <w:rStyle w:val="a3"/>
        </w:rPr>
        <w:t>Горючие вещества</w:t>
      </w:r>
      <w:r>
        <w:t xml:space="preserve"> - вещества, свойства которых соответствуют показателям, установленным </w:t>
      </w:r>
      <w:hyperlink r:id="rId25" w:history="1">
        <w:r>
          <w:rPr>
            <w:rStyle w:val="a4"/>
          </w:rPr>
          <w:t>ГОСТ 12.1.044-89</w:t>
        </w:r>
      </w:hyperlink>
      <w:r>
        <w:t xml:space="preserve"> "ССБТ. Пожаровзрывоопасность веществ и материалов. Номенклатура показателей и методы их определения", утвержденным постановлением Госстандарта СССР от 12 декабря 1989 г. N 3683.</w:t>
      </w:r>
    </w:p>
    <w:p w:rsidR="00000000" w:rsidRDefault="00616EF5">
      <w:bookmarkStart w:id="192" w:name="sub_11006"/>
      <w:bookmarkEnd w:id="191"/>
      <w:r>
        <w:rPr>
          <w:rStyle w:val="a3"/>
        </w:rPr>
        <w:t>Минимальное взрывоопас</w:t>
      </w:r>
      <w:r>
        <w:rPr>
          <w:rStyle w:val="a3"/>
        </w:rPr>
        <w:t>ное содержание кислорода</w:t>
      </w:r>
      <w:r>
        <w:t xml:space="preserve"> - такая концентрация кислорода в горючей смеси, ниже которой воспламенение и горение смеси становится невозможным.</w:t>
      </w:r>
    </w:p>
    <w:p w:rsidR="00000000" w:rsidRDefault="00616EF5">
      <w:bookmarkStart w:id="193" w:name="sub_11007"/>
      <w:bookmarkEnd w:id="192"/>
      <w:r>
        <w:rPr>
          <w:rStyle w:val="a3"/>
        </w:rPr>
        <w:t>Начало факельной системы</w:t>
      </w:r>
      <w:r>
        <w:t xml:space="preserve"> - тупиковые участки факельных коллекторов и трубопроводов, непосредственн</w:t>
      </w:r>
      <w:r>
        <w:t>о примыкающие к границе технологической установки.</w:t>
      </w:r>
    </w:p>
    <w:p w:rsidR="00000000" w:rsidRDefault="00616EF5">
      <w:bookmarkStart w:id="194" w:name="sub_11008"/>
      <w:bookmarkEnd w:id="193"/>
      <w:r>
        <w:rPr>
          <w:rStyle w:val="a3"/>
        </w:rPr>
        <w:t>Общая факельная система</w:t>
      </w:r>
      <w:r>
        <w:t xml:space="preserve"> - факельная система, предназначенная для приема и сжигания сбросов от нескольких технологических объектов (установок, резервуарных парков и пр.).</w:t>
      </w:r>
    </w:p>
    <w:p w:rsidR="00000000" w:rsidRDefault="00616EF5">
      <w:bookmarkStart w:id="195" w:name="sub_11009"/>
      <w:bookmarkEnd w:id="194"/>
      <w:r>
        <w:rPr>
          <w:rStyle w:val="a3"/>
        </w:rPr>
        <w:t>Отдельная факельная система</w:t>
      </w:r>
      <w:r>
        <w:t xml:space="preserve"> - факельная система, предназначенная для приема сбросов от одного технологического объекта (установки, резервуарного парка и пр.) или его нескольких технологических блоков, связанных между собой единой технологией и которые мог</w:t>
      </w:r>
      <w:r>
        <w:t>ут быть остановлены одновременно (один источник сброса).</w:t>
      </w:r>
    </w:p>
    <w:p w:rsidR="00000000" w:rsidRDefault="00616EF5">
      <w:bookmarkStart w:id="196" w:name="sub_11010"/>
      <w:bookmarkEnd w:id="195"/>
      <w:r>
        <w:rPr>
          <w:rStyle w:val="a3"/>
        </w:rPr>
        <w:t>Периодические сбросы</w:t>
      </w:r>
      <w:r>
        <w:t xml:space="preserve"> - горючие газы и пары, направляемые в факельную систему при пуске, остановке или при регламентных изменениях технологического процесса.</w:t>
      </w:r>
    </w:p>
    <w:p w:rsidR="00000000" w:rsidRDefault="00616EF5">
      <w:bookmarkStart w:id="197" w:name="sub_11011"/>
      <w:bookmarkEnd w:id="196"/>
      <w:r>
        <w:rPr>
          <w:rStyle w:val="a3"/>
        </w:rPr>
        <w:t>Пилотн</w:t>
      </w:r>
      <w:r>
        <w:rPr>
          <w:rStyle w:val="a3"/>
        </w:rPr>
        <w:t>ая (дежурная) горелка</w:t>
      </w:r>
      <w:r>
        <w:t xml:space="preserve"> - горелка, которая работает непрерывно в течение всего периода использования факела.</w:t>
      </w:r>
    </w:p>
    <w:p w:rsidR="00000000" w:rsidRDefault="00616EF5">
      <w:bookmarkStart w:id="198" w:name="sub_11012"/>
      <w:bookmarkEnd w:id="197"/>
      <w:r>
        <w:rPr>
          <w:rStyle w:val="a3"/>
        </w:rPr>
        <w:t>Постоянные сбросы</w:t>
      </w:r>
      <w:r>
        <w:t xml:space="preserve"> - горючие газы и пары, поступающие непрерывно от технологического оборудования и коммуникаций при нормальной их э</w:t>
      </w:r>
      <w:r>
        <w:t>ксплуатации.</w:t>
      </w:r>
    </w:p>
    <w:p w:rsidR="00000000" w:rsidRDefault="00616EF5">
      <w:bookmarkStart w:id="199" w:name="sub_11013"/>
      <w:bookmarkEnd w:id="198"/>
      <w:r>
        <w:rPr>
          <w:rStyle w:val="a3"/>
        </w:rPr>
        <w:t>Постоянный отвод жидкости</w:t>
      </w:r>
      <w:r>
        <w:t xml:space="preserve"> - непрерывное ее удаление из сепаратора самотеком без использования насосов.</w:t>
      </w:r>
    </w:p>
    <w:p w:rsidR="00000000" w:rsidRDefault="00616EF5">
      <w:bookmarkStart w:id="200" w:name="sub_11014"/>
      <w:bookmarkEnd w:id="199"/>
      <w:r>
        <w:rPr>
          <w:rStyle w:val="a3"/>
        </w:rPr>
        <w:t>Продувочный газ</w:t>
      </w:r>
      <w:r>
        <w:t xml:space="preserve"> - газ, подаваемый в факельную систему для предотвращения образования в ней взрывоопасной</w:t>
      </w:r>
      <w:r>
        <w:t xml:space="preserve"> смеси.</w:t>
      </w:r>
    </w:p>
    <w:p w:rsidR="00000000" w:rsidRDefault="00616EF5">
      <w:bookmarkStart w:id="201" w:name="sub_11015"/>
      <w:bookmarkEnd w:id="200"/>
      <w:r>
        <w:rPr>
          <w:rStyle w:val="a3"/>
        </w:rPr>
        <w:t>Рабочий предохранительный клапан</w:t>
      </w:r>
      <w:r>
        <w:t xml:space="preserve"> - клапан, предназначенный для предотвращения роста давления в аппарате.</w:t>
      </w:r>
    </w:p>
    <w:p w:rsidR="00000000" w:rsidRDefault="00616EF5">
      <w:bookmarkStart w:id="202" w:name="sub_11016"/>
      <w:bookmarkEnd w:id="201"/>
      <w:r>
        <w:rPr>
          <w:rStyle w:val="a3"/>
        </w:rPr>
        <w:t>Резервный предохранительный клапан</w:t>
      </w:r>
      <w:r>
        <w:t xml:space="preserve"> - предохранительный клапан, установленный параллельно рабочему и включае</w:t>
      </w:r>
      <w:r>
        <w:t>мый в работу блокировочным устройством "закрыто-открыто".</w:t>
      </w:r>
    </w:p>
    <w:p w:rsidR="00000000" w:rsidRDefault="00616EF5">
      <w:bookmarkStart w:id="203" w:name="sub_11017"/>
      <w:bookmarkEnd w:id="202"/>
      <w:r>
        <w:rPr>
          <w:rStyle w:val="a3"/>
        </w:rPr>
        <w:t>Сбросная труба</w:t>
      </w:r>
      <w:r>
        <w:t xml:space="preserve"> - вертикальная труба для сброса газов и паров в атмосферу без сжигания.</w:t>
      </w:r>
    </w:p>
    <w:p w:rsidR="00000000" w:rsidRDefault="00616EF5">
      <w:bookmarkStart w:id="204" w:name="sub_11018"/>
      <w:bookmarkEnd w:id="203"/>
      <w:r>
        <w:rPr>
          <w:rStyle w:val="a3"/>
        </w:rPr>
        <w:t xml:space="preserve">Сбросы (сбросные пары и газы) </w:t>
      </w:r>
      <w:r>
        <w:t>- отходящие от производств</w:t>
      </w:r>
      <w:r>
        <w:t>а, цеха, технологической установки, склада или иного источника горючие газы и пары, которые не могут быть непосредственно использованы в данной технологии.</w:t>
      </w:r>
    </w:p>
    <w:p w:rsidR="00000000" w:rsidRDefault="00616EF5">
      <w:bookmarkStart w:id="205" w:name="sub_11019"/>
      <w:bookmarkEnd w:id="204"/>
      <w:r>
        <w:rPr>
          <w:rStyle w:val="a3"/>
        </w:rPr>
        <w:t>Сепаратор</w:t>
      </w:r>
      <w:r>
        <w:t xml:space="preserve"> - аппарат, предназначенный для выделения жидкости и/или твердых частиц и</w:t>
      </w:r>
      <w:r>
        <w:t>з газа, сбрасываемого на факельную установку.</w:t>
      </w:r>
    </w:p>
    <w:p w:rsidR="00000000" w:rsidRDefault="00616EF5">
      <w:bookmarkStart w:id="206" w:name="sub_11020"/>
      <w:bookmarkEnd w:id="205"/>
      <w:r>
        <w:rPr>
          <w:rStyle w:val="a3"/>
        </w:rPr>
        <w:t>Специальная одежда</w:t>
      </w:r>
      <w:r>
        <w:t xml:space="preserve"> - одежда, которая включает каску, рубашку с длинными рукавами манжетами на пуговицах, рабочие перчатки (рукавицы), длинные брюки и рабочую обувь.</w:t>
      </w:r>
    </w:p>
    <w:p w:rsidR="00000000" w:rsidRDefault="00616EF5">
      <w:bookmarkStart w:id="207" w:name="sub_11021"/>
      <w:bookmarkEnd w:id="206"/>
      <w:r>
        <w:rPr>
          <w:rStyle w:val="a3"/>
        </w:rPr>
        <w:t>Специальн</w:t>
      </w:r>
      <w:r>
        <w:rPr>
          <w:rStyle w:val="a3"/>
        </w:rPr>
        <w:t>ая факельная система</w:t>
      </w:r>
      <w:r>
        <w:t xml:space="preserve"> - система для сжигания газов и паров, которые по своим свойствам и параметрам не могут быть направлены в общую или отдельную факельную систему.</w:t>
      </w:r>
    </w:p>
    <w:p w:rsidR="00000000" w:rsidRDefault="00616EF5">
      <w:bookmarkStart w:id="208" w:name="sub_11022"/>
      <w:bookmarkEnd w:id="207"/>
      <w:r>
        <w:rPr>
          <w:rStyle w:val="a3"/>
        </w:rPr>
        <w:t>Специальный факельный трубопровод</w:t>
      </w:r>
      <w:r>
        <w:t xml:space="preserve"> - трубопровод для подачи сбросного газа</w:t>
      </w:r>
      <w:r>
        <w:t xml:space="preserve"> к факельной установке (факельному оголовку) при особых условиях, не совпадающих с условиями в факельном коллекторе.</w:t>
      </w:r>
    </w:p>
    <w:p w:rsidR="00000000" w:rsidRDefault="00616EF5">
      <w:bookmarkStart w:id="209" w:name="sub_11023"/>
      <w:bookmarkEnd w:id="208"/>
      <w:r>
        <w:rPr>
          <w:rStyle w:val="a3"/>
        </w:rPr>
        <w:t>Срыв пламени</w:t>
      </w:r>
      <w:r>
        <w:t xml:space="preserve"> - явление, характеризуемое общим или частичным отрывом основания пламени над горелками или над зоной стабили</w:t>
      </w:r>
      <w:r>
        <w:t>зации пламени.</w:t>
      </w:r>
    </w:p>
    <w:p w:rsidR="00000000" w:rsidRDefault="00616EF5">
      <w:bookmarkStart w:id="210" w:name="sub_11024"/>
      <w:bookmarkEnd w:id="209"/>
      <w:r>
        <w:rPr>
          <w:rStyle w:val="a3"/>
        </w:rPr>
        <w:t>Установка сбора углеводородных газов и паров</w:t>
      </w:r>
      <w:r>
        <w:t xml:space="preserve"> - совокупность устройств и сооружений, предназначенных для сбора и кратковременного хранения сбрасываемых газов общей факельной системы, возврата газа и конденсата на предприятие</w:t>
      </w:r>
      <w:r>
        <w:t xml:space="preserve"> для дальнейшего использования.</w:t>
      </w:r>
    </w:p>
    <w:p w:rsidR="00000000" w:rsidRDefault="00616EF5">
      <w:bookmarkStart w:id="211" w:name="sub_11025"/>
      <w:bookmarkEnd w:id="210"/>
      <w:r>
        <w:rPr>
          <w:rStyle w:val="a3"/>
        </w:rPr>
        <w:t>Факельная система</w:t>
      </w:r>
      <w:r>
        <w:t xml:space="preserve"> - совокупность устройств, аппаратов, трубопроводов и сооружений, предназначенных для сжигания постоянных, периодических и аварийных сбросов горючих газов и паров.</w:t>
      </w:r>
    </w:p>
    <w:p w:rsidR="00000000" w:rsidRDefault="00616EF5">
      <w:bookmarkStart w:id="212" w:name="sub_11026"/>
      <w:bookmarkEnd w:id="211"/>
      <w:r>
        <w:rPr>
          <w:rStyle w:val="a3"/>
        </w:rPr>
        <w:t>Факельн</w:t>
      </w:r>
      <w:r>
        <w:rPr>
          <w:rStyle w:val="a3"/>
        </w:rPr>
        <w:t>ая установка</w:t>
      </w:r>
      <w:r>
        <w:t xml:space="preserve"> - техническое устройство, предназначенное для сжигания постоянных, периодических и аварийных сбросов горючих газов и паров.</w:t>
      </w:r>
    </w:p>
    <w:p w:rsidR="00000000" w:rsidRDefault="00616EF5">
      <w:bookmarkStart w:id="213" w:name="sub_11027"/>
      <w:bookmarkEnd w:id="212"/>
      <w:r>
        <w:rPr>
          <w:rStyle w:val="a3"/>
        </w:rPr>
        <w:t>Факельная установка вертикальная</w:t>
      </w:r>
      <w:r>
        <w:t xml:space="preserve"> - факельная установка для сжигания сбрасываемых газов и паров в атмо</w:t>
      </w:r>
      <w:r>
        <w:t>сфере по вертикальному факельному стволу высотой 4 м и более.</w:t>
      </w:r>
    </w:p>
    <w:p w:rsidR="00000000" w:rsidRDefault="00616EF5">
      <w:bookmarkStart w:id="214" w:name="sub_11028"/>
      <w:bookmarkEnd w:id="213"/>
      <w:r>
        <w:rPr>
          <w:rStyle w:val="a3"/>
        </w:rPr>
        <w:t>Факельная установка горизонтальная</w:t>
      </w:r>
      <w:r>
        <w:t xml:space="preserve"> - факельная установка для сжигания сбрасываемых газов и паров, подаваемых в зону горения по горизонтальному трубопроводу.</w:t>
      </w:r>
    </w:p>
    <w:p w:rsidR="00000000" w:rsidRDefault="00616EF5">
      <w:bookmarkStart w:id="215" w:name="sub_11029"/>
      <w:bookmarkEnd w:id="214"/>
      <w:r>
        <w:rPr>
          <w:rStyle w:val="a3"/>
        </w:rPr>
        <w:t>Ф</w:t>
      </w:r>
      <w:r>
        <w:rPr>
          <w:rStyle w:val="a3"/>
        </w:rPr>
        <w:t>акельная установка закрытая (наземная)</w:t>
      </w:r>
      <w:r>
        <w:t xml:space="preserve"> - факельная установка для бездымного сжигания сбросных газов и жидкостей возле поверхности земли.</w:t>
      </w:r>
    </w:p>
    <w:p w:rsidR="00000000" w:rsidRDefault="00616EF5">
      <w:bookmarkStart w:id="216" w:name="sub_11030"/>
      <w:bookmarkEnd w:id="215"/>
      <w:r>
        <w:rPr>
          <w:rStyle w:val="a3"/>
        </w:rPr>
        <w:t>Факельная установка многогорелочная (многостадийная)</w:t>
      </w:r>
      <w:r>
        <w:t xml:space="preserve"> - факельная установка, предназначенная для безды</w:t>
      </w:r>
      <w:r>
        <w:t>много сжигания сбросных газов и жидкостей возле поверхности земли, обеспечивающая высокую пропускную способность при широком диапазоне давления сброса.</w:t>
      </w:r>
    </w:p>
    <w:p w:rsidR="00000000" w:rsidRDefault="00616EF5">
      <w:bookmarkStart w:id="217" w:name="sub_11031"/>
      <w:bookmarkEnd w:id="216"/>
      <w:r>
        <w:rPr>
          <w:rStyle w:val="a3"/>
        </w:rPr>
        <w:t>Факельная установка упрощенная</w:t>
      </w:r>
      <w:r>
        <w:t xml:space="preserve"> - факельная установка, не имеющая дежурных горелок, при</w:t>
      </w:r>
      <w:r>
        <w:t>меняемая преимущественно при проведении ремонтных работ.</w:t>
      </w:r>
    </w:p>
    <w:p w:rsidR="00000000" w:rsidRDefault="00616EF5">
      <w:bookmarkStart w:id="218" w:name="sub_11032"/>
      <w:bookmarkEnd w:id="217"/>
      <w:r>
        <w:rPr>
          <w:rStyle w:val="a3"/>
        </w:rPr>
        <w:t>Факельный коллектор</w:t>
      </w:r>
      <w:r>
        <w:t xml:space="preserve"> - трубопровод для сбора и транспортировки сбросных газов и паров от нескольких источников сброса.</w:t>
      </w:r>
    </w:p>
    <w:p w:rsidR="00000000" w:rsidRDefault="00616EF5">
      <w:bookmarkStart w:id="219" w:name="sub_11033"/>
      <w:bookmarkEnd w:id="218"/>
      <w:r>
        <w:rPr>
          <w:rStyle w:val="a3"/>
        </w:rPr>
        <w:t>Факельный оголовок</w:t>
      </w:r>
      <w:r>
        <w:t xml:space="preserve"> - устройство с пилотными (</w:t>
      </w:r>
      <w:r>
        <w:t>дежурными) горелками, служащее для сжигания сбросных газов.</w:t>
      </w:r>
    </w:p>
    <w:p w:rsidR="00000000" w:rsidRDefault="00616EF5">
      <w:bookmarkStart w:id="220" w:name="sub_11034"/>
      <w:bookmarkEnd w:id="219"/>
      <w:r>
        <w:rPr>
          <w:rStyle w:val="a3"/>
        </w:rPr>
        <w:t>Факельный ствол</w:t>
      </w:r>
      <w:r>
        <w:t xml:space="preserve"> - вертикальная труба с оголовком и газовым затвором.</w:t>
      </w:r>
    </w:p>
    <w:p w:rsidR="00000000" w:rsidRDefault="00616EF5">
      <w:bookmarkStart w:id="221" w:name="sub_11035"/>
      <w:bookmarkEnd w:id="220"/>
      <w:r>
        <w:rPr>
          <w:rStyle w:val="a3"/>
        </w:rPr>
        <w:t>Факельный трубопровод</w:t>
      </w:r>
      <w:r>
        <w:t xml:space="preserve"> - трубопровод для подачи сбросных газов и паров от одного источника с</w:t>
      </w:r>
      <w:r>
        <w:t>броса.</w:t>
      </w:r>
    </w:p>
    <w:p w:rsidR="00000000" w:rsidRDefault="00616EF5">
      <w:bookmarkStart w:id="222" w:name="sub_11036"/>
      <w:bookmarkEnd w:id="221"/>
      <w:r>
        <w:rPr>
          <w:rStyle w:val="a3"/>
        </w:rPr>
        <w:t>Шкала Рингельмана</w:t>
      </w:r>
      <w:r>
        <w:t xml:space="preserve"> - шкала измерения кажущейся плотности дыма (</w:t>
      </w:r>
      <w:hyperlink w:anchor="sub_11200" w:history="1">
        <w:r>
          <w:rPr>
            <w:rStyle w:val="a4"/>
          </w:rPr>
          <w:t>таблица N 2</w:t>
        </w:r>
      </w:hyperlink>
      <w:r>
        <w:t>)</w:t>
      </w:r>
    </w:p>
    <w:bookmarkEnd w:id="222"/>
    <w:p w:rsidR="00000000" w:rsidRDefault="00616EF5"/>
    <w:p w:rsidR="00000000" w:rsidRDefault="00616EF5">
      <w:pPr>
        <w:ind w:firstLine="698"/>
        <w:jc w:val="right"/>
      </w:pPr>
      <w:bookmarkStart w:id="223" w:name="sub_11200"/>
      <w:r>
        <w:rPr>
          <w:rStyle w:val="a3"/>
        </w:rPr>
        <w:t>Таблица N 2</w:t>
      </w:r>
    </w:p>
    <w:bookmarkEnd w:id="223"/>
    <w:p w:rsidR="00000000" w:rsidRDefault="00616EF5"/>
    <w:p w:rsidR="00000000" w:rsidRDefault="00616EF5">
      <w:pPr>
        <w:pStyle w:val="1"/>
      </w:pPr>
      <w:r>
        <w:t>Шкала Рингельмана</w:t>
      </w:r>
    </w:p>
    <w:p w:rsidR="00000000" w:rsidRDefault="00616E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2"/>
        <w:gridCol w:w="3344"/>
        <w:gridCol w:w="49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Коэффициент Рингельмана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Коэффициент непрозрачности, %</w:t>
            </w:r>
          </w:p>
        </w:tc>
        <w:tc>
          <w:tcPr>
            <w:tcW w:w="49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 xml:space="preserve">Характеристика </w:t>
            </w:r>
            <w:r>
              <w:t>непрозрачности (цвет)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бесцветный (отсутствует)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1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20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почти не видно (белый)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2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40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ясно видно (светло-серый)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3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60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немного прозрачный (серый)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4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80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едва прозрачный (темно-серый)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5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100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черный (черный)</w:t>
            </w:r>
          </w:p>
        </w:tc>
      </w:tr>
    </w:tbl>
    <w:p w:rsidR="00000000" w:rsidRDefault="00616EF5"/>
    <w:p w:rsidR="00000000" w:rsidRDefault="00616EF5">
      <w:pPr>
        <w:ind w:firstLine="698"/>
        <w:jc w:val="right"/>
      </w:pPr>
      <w:bookmarkStart w:id="224" w:name="sub_120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Руководству</w:t>
        </w:r>
      </w:hyperlink>
      <w:r>
        <w:rPr>
          <w:rStyle w:val="a3"/>
        </w:rPr>
        <w:t xml:space="preserve"> по безопасности</w:t>
      </w:r>
      <w:r>
        <w:rPr>
          <w:rStyle w:val="a3"/>
        </w:rPr>
        <w:br/>
        <w:t>факельных систем, утвержденному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Федеральной службы</w:t>
      </w:r>
      <w:r>
        <w:rPr>
          <w:rStyle w:val="a3"/>
        </w:rPr>
        <w:br/>
        <w:t>по экологическому, технологическому</w:t>
      </w:r>
      <w:r>
        <w:rPr>
          <w:rStyle w:val="a3"/>
        </w:rPr>
        <w:br/>
        <w:t>и атомному надзору</w:t>
      </w:r>
      <w:r>
        <w:rPr>
          <w:rStyle w:val="a3"/>
        </w:rPr>
        <w:br/>
        <w:t>от 22 декабря 2021 г. N 450</w:t>
      </w:r>
    </w:p>
    <w:bookmarkEnd w:id="224"/>
    <w:p w:rsidR="00000000" w:rsidRDefault="00616EF5"/>
    <w:p w:rsidR="00000000" w:rsidRDefault="00616EF5">
      <w:pPr>
        <w:pStyle w:val="1"/>
      </w:pPr>
      <w:r>
        <w:t>Принципиальная схема</w:t>
      </w:r>
      <w:r>
        <w:br/>
        <w:t>сброса га</w:t>
      </w:r>
      <w:r>
        <w:t>зов (паров) в факельную систему</w:t>
      </w:r>
    </w:p>
    <w:p w:rsidR="00000000" w:rsidRDefault="00616EF5"/>
    <w:p w:rsidR="00000000" w:rsidRDefault="00616EF5">
      <w:pPr>
        <w:pStyle w:val="a9"/>
      </w:pPr>
      <w:r>
        <w:pict>
          <v:shape id="_x0000_i1031" type="#_x0000_t75" style="width:469.2pt;height:422.4pt">
            <v:imagedata r:id="rId26" o:title=""/>
          </v:shape>
        </w:pict>
      </w:r>
    </w:p>
    <w:p w:rsidR="00000000" w:rsidRDefault="00616EF5"/>
    <w:p w:rsidR="00000000" w:rsidRDefault="00616EF5">
      <w:pPr>
        <w:ind w:firstLine="698"/>
        <w:jc w:val="right"/>
      </w:pPr>
      <w:bookmarkStart w:id="225" w:name="sub_130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Руководству</w:t>
        </w:r>
      </w:hyperlink>
      <w:r>
        <w:rPr>
          <w:rStyle w:val="a3"/>
        </w:rPr>
        <w:t xml:space="preserve"> по безопасности</w:t>
      </w:r>
      <w:r>
        <w:rPr>
          <w:rStyle w:val="a3"/>
        </w:rPr>
        <w:br/>
        <w:t>факельных систем, утвержденному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Федеральной службы</w:t>
      </w:r>
      <w:r>
        <w:rPr>
          <w:rStyle w:val="a3"/>
        </w:rPr>
        <w:br/>
        <w:t>по экологическому, тех</w:t>
      </w:r>
      <w:r>
        <w:rPr>
          <w:rStyle w:val="a3"/>
        </w:rPr>
        <w:t>нологическому</w:t>
      </w:r>
      <w:r>
        <w:rPr>
          <w:rStyle w:val="a3"/>
        </w:rPr>
        <w:br/>
        <w:t>и атомному надзору</w:t>
      </w:r>
      <w:r>
        <w:rPr>
          <w:rStyle w:val="a3"/>
        </w:rPr>
        <w:br/>
        <w:t>от 22 декабря 2021 г. N 450</w:t>
      </w:r>
    </w:p>
    <w:bookmarkEnd w:id="225"/>
    <w:p w:rsidR="00000000" w:rsidRDefault="00616EF5"/>
    <w:p w:rsidR="00000000" w:rsidRDefault="00616EF5">
      <w:pPr>
        <w:pStyle w:val="1"/>
      </w:pPr>
      <w:r>
        <w:t>Рекомендуемая схема</w:t>
      </w:r>
      <w:r>
        <w:br/>
        <w:t>сброса газов (паров) в факельную систему с постоянным отводом конденсата из сепаратора через гидрозатвор</w:t>
      </w:r>
    </w:p>
    <w:p w:rsidR="00000000" w:rsidRDefault="00616EF5"/>
    <w:p w:rsidR="00000000" w:rsidRDefault="00616EF5">
      <w:pPr>
        <w:pStyle w:val="a9"/>
      </w:pPr>
      <w:r>
        <w:pict>
          <v:shape id="_x0000_i1032" type="#_x0000_t75" style="width:459pt;height:321.6pt">
            <v:imagedata r:id="rId27" o:title=""/>
          </v:shape>
        </w:pict>
      </w:r>
    </w:p>
    <w:p w:rsidR="00000000" w:rsidRDefault="00616EF5"/>
    <w:p w:rsidR="00000000" w:rsidRDefault="00616EF5">
      <w:pPr>
        <w:ind w:firstLine="698"/>
        <w:jc w:val="right"/>
      </w:pPr>
      <w:bookmarkStart w:id="226" w:name="sub_14000"/>
      <w:r>
        <w:rPr>
          <w:rStyle w:val="a3"/>
        </w:rPr>
        <w:t>Приложение N 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Руководству</w:t>
        </w:r>
      </w:hyperlink>
      <w:r>
        <w:rPr>
          <w:rStyle w:val="a3"/>
        </w:rPr>
        <w:t xml:space="preserve"> по безопасности</w:t>
      </w:r>
      <w:r>
        <w:rPr>
          <w:rStyle w:val="a3"/>
        </w:rPr>
        <w:br/>
        <w:t>факельных систем, утвержденному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Федеральной службы</w:t>
      </w:r>
      <w:r>
        <w:rPr>
          <w:rStyle w:val="a3"/>
        </w:rPr>
        <w:br/>
        <w:t>по экологическому, технологическому</w:t>
      </w:r>
      <w:r>
        <w:rPr>
          <w:rStyle w:val="a3"/>
        </w:rPr>
        <w:br/>
        <w:t>и атомному надзору</w:t>
      </w:r>
      <w:r>
        <w:rPr>
          <w:rStyle w:val="a3"/>
        </w:rPr>
        <w:br/>
        <w:t>о</w:t>
      </w:r>
      <w:r>
        <w:rPr>
          <w:rStyle w:val="a3"/>
        </w:rPr>
        <w:t>т 22 декабря 2021 г. N 450</w:t>
      </w:r>
    </w:p>
    <w:bookmarkEnd w:id="226"/>
    <w:p w:rsidR="00000000" w:rsidRDefault="00616EF5"/>
    <w:p w:rsidR="00000000" w:rsidRDefault="00616EF5">
      <w:pPr>
        <w:pStyle w:val="1"/>
      </w:pPr>
      <w:r>
        <w:t>Рекомендуемая схема</w:t>
      </w:r>
      <w:r>
        <w:br/>
        <w:t>подачи продувочного газа в факельный коллектор</w:t>
      </w:r>
    </w:p>
    <w:p w:rsidR="00000000" w:rsidRDefault="00616EF5"/>
    <w:p w:rsidR="00000000" w:rsidRDefault="00616EF5">
      <w:pPr>
        <w:pStyle w:val="a9"/>
      </w:pPr>
      <w:r>
        <w:pict>
          <v:shape id="_x0000_i1033" type="#_x0000_t75" style="width:462pt;height:310.8pt">
            <v:imagedata r:id="rId28" o:title=""/>
          </v:shape>
        </w:pict>
      </w:r>
    </w:p>
    <w:p w:rsidR="00000000" w:rsidRDefault="00616EF5"/>
    <w:p w:rsidR="00000000" w:rsidRDefault="00616EF5">
      <w:pPr>
        <w:ind w:firstLine="698"/>
        <w:jc w:val="right"/>
      </w:pPr>
      <w:bookmarkStart w:id="227" w:name="sub_15000"/>
      <w:r>
        <w:rPr>
          <w:rStyle w:val="a3"/>
        </w:rPr>
        <w:t>Приложение N 5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Руководству</w:t>
        </w:r>
      </w:hyperlink>
      <w:r>
        <w:rPr>
          <w:rStyle w:val="a3"/>
        </w:rPr>
        <w:t xml:space="preserve"> по безопасности</w:t>
      </w:r>
      <w:r>
        <w:rPr>
          <w:rStyle w:val="a3"/>
        </w:rPr>
        <w:br/>
        <w:t>факельных систем, утвержденному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Федеральной службы</w:t>
      </w:r>
      <w:r>
        <w:rPr>
          <w:rStyle w:val="a3"/>
        </w:rPr>
        <w:br/>
        <w:t>по экологическому, технологическому</w:t>
      </w:r>
      <w:r>
        <w:rPr>
          <w:rStyle w:val="a3"/>
        </w:rPr>
        <w:br/>
        <w:t>и атомному надзору</w:t>
      </w:r>
      <w:r>
        <w:rPr>
          <w:rStyle w:val="a3"/>
        </w:rPr>
        <w:br/>
        <w:t>от 22 декабря 2021 г. N 450</w:t>
      </w:r>
    </w:p>
    <w:bookmarkEnd w:id="227"/>
    <w:p w:rsidR="00000000" w:rsidRDefault="00616EF5"/>
    <w:p w:rsidR="00000000" w:rsidRDefault="00616EF5">
      <w:pPr>
        <w:pStyle w:val="1"/>
      </w:pPr>
      <w:r>
        <w:t>Рекомендуемый расчет</w:t>
      </w:r>
      <w:r>
        <w:br/>
        <w:t>концентраций горючего газа при сбросе из предохранительного клапана через сбросную трубу</w:t>
      </w:r>
    </w:p>
    <w:p w:rsidR="00000000" w:rsidRDefault="00616EF5"/>
    <w:p w:rsidR="00000000" w:rsidRDefault="00616EF5">
      <w:r>
        <w:t>Ра</w:t>
      </w:r>
      <w:r>
        <w:t>счет проведен для условий, когда выброс осуществляется горизонтально в течение длительного времени при наихудших метеоусловиях (штиль), а максимальная приземная концентрация газа не превышает 50% нижнего предела распространения пламени (воспламенения). Для</w:t>
      </w:r>
      <w:r>
        <w:t xml:space="preserve"> уменьшения приземной концентрации рекомендуется сбросной патрубок направлять вертикально вверх.</w:t>
      </w:r>
    </w:p>
    <w:p w:rsidR="00000000" w:rsidRDefault="00616EF5">
      <w:bookmarkStart w:id="228" w:name="sub_15001"/>
      <w:r>
        <w:t>1. Величина приземной концентрации газа на различных расстояниях от предохранительного клапана определяется по формуле:</w:t>
      </w:r>
    </w:p>
    <w:bookmarkEnd w:id="228"/>
    <w:p w:rsidR="00000000" w:rsidRDefault="00616EF5"/>
    <w:p w:rsidR="00000000" w:rsidRDefault="00616EF5">
      <w:pPr>
        <w:ind w:firstLine="698"/>
        <w:jc w:val="center"/>
      </w:pPr>
      <w:r>
        <w:pict>
          <v:shape id="_x0000_i1034" type="#_x0000_t75" style="width:172.8pt;height:57pt">
            <v:imagedata r:id="rId29" o:title=""/>
          </v:shape>
        </w:pict>
      </w:r>
      <w:r>
        <w:t xml:space="preserve">, </w:t>
      </w:r>
      <w:r>
        <w:pict>
          <v:shape id="_x0000_i1035" type="#_x0000_t75" style="width:31.2pt;height:22.8pt">
            <v:imagedata r:id="rId30" o:title=""/>
          </v:shape>
        </w:pict>
      </w:r>
      <w:r>
        <w:t>,</w:t>
      </w:r>
    </w:p>
    <w:p w:rsidR="00000000" w:rsidRDefault="00616EF5"/>
    <w:p w:rsidR="00000000" w:rsidRDefault="00616EF5">
      <w:r>
        <w:t>или</w:t>
      </w:r>
    </w:p>
    <w:p w:rsidR="00000000" w:rsidRDefault="00616EF5"/>
    <w:p w:rsidR="00000000" w:rsidRDefault="00616EF5">
      <w:pPr>
        <w:ind w:firstLine="698"/>
        <w:jc w:val="center"/>
      </w:pPr>
      <w:r>
        <w:pict>
          <v:shape id="_x0000_i1036" type="#_x0000_t75" style="width:191.4pt;height:58.2pt">
            <v:imagedata r:id="rId31" o:title=""/>
          </v:shape>
        </w:pict>
      </w:r>
      <w:r>
        <w:t xml:space="preserve">, </w:t>
      </w:r>
      <w:r>
        <w:pict>
          <v:shape id="_x0000_i1037" type="#_x0000_t75" style="width:31.2pt;height:22.8pt">
            <v:imagedata r:id="rId32" o:title=""/>
          </v:shape>
        </w:pict>
      </w:r>
      <w:r>
        <w:t>,</w:t>
      </w:r>
    </w:p>
    <w:p w:rsidR="00000000" w:rsidRDefault="00616EF5"/>
    <w:p w:rsidR="00000000" w:rsidRDefault="00616EF5">
      <w:r>
        <w:t>где M - количество сбрасываемого газа, г/с;</w:t>
      </w:r>
    </w:p>
    <w:p w:rsidR="00000000" w:rsidRDefault="00616EF5">
      <w:r>
        <w:t>d - диаметр сбросного патрубка, м;</w:t>
      </w:r>
    </w:p>
    <w:p w:rsidR="00000000" w:rsidRDefault="00616EF5">
      <w:r>
        <w:t xml:space="preserve">V - секундный объем сбрасываемого газа </w:t>
      </w:r>
      <w:r>
        <w:t xml:space="preserve">при нормальном давлении, </w:t>
      </w:r>
      <w:r>
        <w:pict>
          <v:shape id="_x0000_i1038" type="#_x0000_t75" style="width:31.8pt;height:22.8pt">
            <v:imagedata r:id="rId33" o:title=""/>
          </v:shape>
        </w:pict>
      </w:r>
      <w:r>
        <w:t>;</w:t>
      </w:r>
    </w:p>
    <w:p w:rsidR="00000000" w:rsidRDefault="00616EF5">
      <w:r>
        <w:t>X - горизонтальное расстояние от сбросного патрубка до места, в котором определяется концентрация, м;</w:t>
      </w:r>
    </w:p>
    <w:p w:rsidR="00000000" w:rsidRDefault="00616EF5">
      <w:r>
        <w:pict>
          <v:shape id="_x0000_i1039" type="#_x0000_t75" style="width:16.8pt;height:21pt">
            <v:imagedata r:id="rId34" o:title=""/>
          </v:shape>
        </w:pict>
      </w:r>
      <w:r>
        <w:t xml:space="preserve">, </w:t>
      </w:r>
      <w:r>
        <w:pict>
          <v:shape id="_x0000_i1040" type="#_x0000_t75" style="width:21pt;height:21pt">
            <v:imagedata r:id="rId35" o:title=""/>
          </v:shape>
        </w:pict>
      </w:r>
      <w:r>
        <w:t xml:space="preserve"> - плотность сбрасываемого газа и окружающего воздуха, </w:t>
      </w:r>
      <w:r>
        <w:pict>
          <v:shape id="_x0000_i1041" type="#_x0000_t75" style="width:37.2pt;height:22.8pt">
            <v:imagedata r:id="rId36" o:title=""/>
          </v:shape>
        </w:pict>
      </w:r>
      <w:r>
        <w:t>;</w:t>
      </w:r>
    </w:p>
    <w:p w:rsidR="00000000" w:rsidRDefault="00616EF5">
      <w:r>
        <w:t>h - высота сбросного патрубка, м.</w:t>
      </w:r>
    </w:p>
    <w:p w:rsidR="00000000" w:rsidRDefault="00616EF5">
      <w:bookmarkStart w:id="229" w:name="sub_15002"/>
      <w:r>
        <w:t xml:space="preserve">2. Величина максимальной приземной концентрации </w:t>
      </w:r>
      <w:r>
        <w:t>газа определяется по формуле:</w:t>
      </w:r>
    </w:p>
    <w:bookmarkEnd w:id="229"/>
    <w:p w:rsidR="00000000" w:rsidRDefault="00616EF5"/>
    <w:p w:rsidR="00000000" w:rsidRDefault="00616EF5">
      <w:pPr>
        <w:ind w:firstLine="698"/>
        <w:jc w:val="center"/>
      </w:pPr>
      <w:r>
        <w:pict>
          <v:shape id="_x0000_i1042" type="#_x0000_t75" style="width:139.8pt;height:52.8pt">
            <v:imagedata r:id="rId37" o:title=""/>
          </v:shape>
        </w:pict>
      </w:r>
      <w:r>
        <w:t xml:space="preserve">, </w:t>
      </w:r>
      <w:r>
        <w:pict>
          <v:shape id="_x0000_i1043" type="#_x0000_t75" style="width:31.2pt;height:22.8pt">
            <v:imagedata r:id="rId38" o:title=""/>
          </v:shape>
        </w:pict>
      </w:r>
      <w:r>
        <w:t>,</w:t>
      </w:r>
    </w:p>
    <w:p w:rsidR="00000000" w:rsidRDefault="00616EF5"/>
    <w:p w:rsidR="00000000" w:rsidRDefault="00616EF5">
      <w:r>
        <w:t>или</w:t>
      </w:r>
    </w:p>
    <w:p w:rsidR="00000000" w:rsidRDefault="00616EF5"/>
    <w:p w:rsidR="00000000" w:rsidRDefault="00616EF5">
      <w:pPr>
        <w:ind w:firstLine="698"/>
        <w:jc w:val="center"/>
      </w:pPr>
      <w:r>
        <w:pict>
          <v:shape id="_x0000_i1044" type="#_x0000_t75" style="width:137.4pt;height:52.8pt">
            <v:imagedata r:id="rId39" o:title=""/>
          </v:shape>
        </w:pict>
      </w:r>
      <w:r>
        <w:t xml:space="preserve">, </w:t>
      </w:r>
      <w:r>
        <w:pict>
          <v:shape id="_x0000_i1045" type="#_x0000_t75" style="width:31.2pt;height:22.8pt">
            <v:imagedata r:id="rId40" o:title=""/>
          </v:shape>
        </w:pict>
      </w:r>
      <w:r>
        <w:t>.</w:t>
      </w:r>
    </w:p>
    <w:p w:rsidR="00000000" w:rsidRDefault="00616EF5"/>
    <w:p w:rsidR="00000000" w:rsidRDefault="00616EF5">
      <w:bookmarkStart w:id="230" w:name="sub_15003"/>
      <w:r>
        <w:t>3. Расстояние, на котором наблюдается максимальна</w:t>
      </w:r>
      <w:r>
        <w:t>я приземная концентрация, составляет:</w:t>
      </w:r>
    </w:p>
    <w:bookmarkEnd w:id="230"/>
    <w:p w:rsidR="00000000" w:rsidRDefault="00616EF5"/>
    <w:p w:rsidR="00000000" w:rsidRDefault="00616EF5">
      <w:pPr>
        <w:ind w:firstLine="698"/>
        <w:jc w:val="center"/>
      </w:pPr>
      <w:r>
        <w:pict>
          <v:shape id="_x0000_i1046" type="#_x0000_t75" style="width:52.8pt;height:21pt">
            <v:imagedata r:id="rId41" o:title=""/>
          </v:shape>
        </w:pict>
      </w:r>
      <w:r>
        <w:t>, м.</w:t>
      </w:r>
    </w:p>
    <w:p w:rsidR="00000000" w:rsidRDefault="00616EF5"/>
    <w:p w:rsidR="00000000" w:rsidRDefault="00616EF5">
      <w:bookmarkStart w:id="231" w:name="sub_15004"/>
      <w:r>
        <w:t>4. Минимальная высота выброса определяется по формуле:</w:t>
      </w:r>
    </w:p>
    <w:bookmarkEnd w:id="231"/>
    <w:p w:rsidR="00000000" w:rsidRDefault="00616EF5"/>
    <w:p w:rsidR="00000000" w:rsidRDefault="00616EF5">
      <w:pPr>
        <w:ind w:firstLine="698"/>
        <w:jc w:val="center"/>
      </w:pPr>
      <w:r>
        <w:pict>
          <v:shape id="_x0000_i1047" type="#_x0000_t75" style="width:165pt;height:52.8pt">
            <v:imagedata r:id="rId42" o:title=""/>
          </v:shape>
        </w:pict>
      </w:r>
      <w:r>
        <w:t xml:space="preserve">, </w:t>
      </w:r>
      <w:r>
        <w:pict>
          <v:shape id="_x0000_i1048" type="#_x0000_t75" style="width:31.2pt;height:22.8pt">
            <v:imagedata r:id="rId43" o:title=""/>
          </v:shape>
        </w:pict>
      </w:r>
      <w:r>
        <w:t>,</w:t>
      </w:r>
    </w:p>
    <w:p w:rsidR="00000000" w:rsidRDefault="00616EF5"/>
    <w:p w:rsidR="00000000" w:rsidRDefault="00616EF5">
      <w:r>
        <w:t xml:space="preserve">где </w:t>
      </w:r>
      <w:r>
        <w:pict>
          <v:shape id="_x0000_i1049" type="#_x0000_t75" style="width:32.4pt;height:21pt">
            <v:imagedata r:id="rId44" o:title=""/>
          </v:shape>
        </w:pict>
      </w:r>
      <w:r>
        <w:t xml:space="preserve"> - концентрация нижнего предела распространения пламени, </w:t>
      </w:r>
      <w:r>
        <w:pict>
          <v:shape id="_x0000_i1050" type="#_x0000_t75" style="width:31.2pt;height:22.8pt">
            <v:imagedata r:id="rId45" o:title=""/>
          </v:shape>
        </w:pict>
      </w:r>
      <w:r>
        <w:t>.</w:t>
      </w:r>
    </w:p>
    <w:p w:rsidR="00000000" w:rsidRDefault="00616EF5">
      <w:r>
        <w:rPr>
          <w:rStyle w:val="a3"/>
        </w:rPr>
        <w:t>Примечания.</w:t>
      </w:r>
    </w:p>
    <w:p w:rsidR="00000000" w:rsidRDefault="00616EF5">
      <w:r>
        <w:t>1. Рекомендуется принимать скорость выхода газа из сбросного патрубка 80 м/с.</w:t>
      </w:r>
    </w:p>
    <w:p w:rsidR="00000000" w:rsidRDefault="00616EF5">
      <w:r>
        <w:t>2. Опасной зоной считается круг радиу</w:t>
      </w:r>
      <w:r>
        <w:t xml:space="preserve">сом </w:t>
      </w:r>
      <w:r>
        <w:pict>
          <v:shape id="_x0000_i1051" type="#_x0000_t75" style="width:20.4pt;height:21pt">
            <v:imagedata r:id="rId46" o:title=""/>
          </v:shape>
        </w:pict>
      </w:r>
      <w:r>
        <w:t>.</w:t>
      </w:r>
    </w:p>
    <w:p w:rsidR="00000000" w:rsidRDefault="00616EF5"/>
    <w:p w:rsidR="00000000" w:rsidRDefault="00616EF5">
      <w:pPr>
        <w:ind w:firstLine="698"/>
        <w:jc w:val="right"/>
      </w:pPr>
      <w:bookmarkStart w:id="232" w:name="sub_16000"/>
      <w:r>
        <w:rPr>
          <w:rStyle w:val="a3"/>
        </w:rPr>
        <w:t>Приложение N 6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Руководству</w:t>
        </w:r>
      </w:hyperlink>
      <w:r>
        <w:rPr>
          <w:rStyle w:val="a3"/>
        </w:rPr>
        <w:t xml:space="preserve"> по безопасности</w:t>
      </w:r>
      <w:r>
        <w:rPr>
          <w:rStyle w:val="a3"/>
        </w:rPr>
        <w:br/>
        <w:t>факельных систем, утвержденному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Федеральной службы</w:t>
      </w:r>
      <w:r>
        <w:rPr>
          <w:rStyle w:val="a3"/>
        </w:rPr>
        <w:br/>
        <w:t>по экологическому, технологическому</w:t>
      </w:r>
      <w:r>
        <w:rPr>
          <w:rStyle w:val="a3"/>
        </w:rPr>
        <w:br/>
        <w:t>и атомному надз</w:t>
      </w:r>
      <w:r>
        <w:rPr>
          <w:rStyle w:val="a3"/>
        </w:rPr>
        <w:t>ору</w:t>
      </w:r>
      <w:r>
        <w:rPr>
          <w:rStyle w:val="a3"/>
        </w:rPr>
        <w:br/>
        <w:t>от 22 декабря 2021 г. N 450</w:t>
      </w:r>
    </w:p>
    <w:bookmarkEnd w:id="232"/>
    <w:p w:rsidR="00000000" w:rsidRDefault="00616EF5"/>
    <w:p w:rsidR="00000000" w:rsidRDefault="00616EF5">
      <w:pPr>
        <w:pStyle w:val="1"/>
      </w:pPr>
      <w:r>
        <w:t>Рекомендуемая схема</w:t>
      </w:r>
      <w:r>
        <w:br/>
        <w:t xml:space="preserve"> оснащения насосов для откачки углеводородов из факельного сепаратора (сборника конденсата) трубопроводами, контрольно-измерительными приборами и средствами автоматики</w:t>
      </w:r>
    </w:p>
    <w:p w:rsidR="00000000" w:rsidRDefault="00616EF5"/>
    <w:p w:rsidR="00000000" w:rsidRDefault="00616EF5">
      <w:pPr>
        <w:pStyle w:val="a9"/>
      </w:pPr>
      <w:r>
        <w:pict>
          <v:shape id="_x0000_i1052" type="#_x0000_t75" style="width:461.4pt;height:472.8pt">
            <v:imagedata r:id="rId47" o:title=""/>
          </v:shape>
        </w:pict>
      </w:r>
    </w:p>
    <w:p w:rsidR="00000000" w:rsidRDefault="00616EF5"/>
    <w:p w:rsidR="00000000" w:rsidRDefault="00616EF5">
      <w:pPr>
        <w:pStyle w:val="1"/>
      </w:pPr>
      <w:bookmarkStart w:id="233" w:name="sub_16200"/>
      <w:r>
        <w:t>Описание работы насосов</w:t>
      </w:r>
    </w:p>
    <w:bookmarkEnd w:id="233"/>
    <w:p w:rsidR="00000000" w:rsidRDefault="00616EF5"/>
    <w:p w:rsidR="00000000" w:rsidRDefault="00616EF5">
      <w:pPr>
        <w:pStyle w:val="1"/>
      </w:pPr>
      <w:bookmarkStart w:id="234" w:name="sub_16201"/>
      <w:r>
        <w:t>Ситуация 1</w:t>
      </w:r>
    </w:p>
    <w:bookmarkEnd w:id="234"/>
    <w:p w:rsidR="00000000" w:rsidRDefault="00616EF5"/>
    <w:p w:rsidR="00000000" w:rsidRDefault="00616EF5">
      <w:r>
        <w:t>Сброс углеводородных газов в факельную систему не производится. Факельная система заполнена топливным или инертным газом. Факельный сепаратор и на</w:t>
      </w:r>
      <w:r>
        <w:t>сосы жидкостью не заполнены. Задвижки 13, 14, вентили 3, 10 находятся в открытом положении. Задвижки 4, 9 закрыты.</w:t>
      </w:r>
    </w:p>
    <w:p w:rsidR="00000000" w:rsidRDefault="00616EF5"/>
    <w:p w:rsidR="00000000" w:rsidRDefault="00616EF5">
      <w:pPr>
        <w:pStyle w:val="1"/>
      </w:pPr>
      <w:bookmarkStart w:id="235" w:name="sub_16202"/>
      <w:r>
        <w:t>Ситуация 2</w:t>
      </w:r>
    </w:p>
    <w:bookmarkEnd w:id="235"/>
    <w:p w:rsidR="00000000" w:rsidRDefault="00616EF5"/>
    <w:p w:rsidR="00000000" w:rsidRDefault="00616EF5">
      <w:r>
        <w:t>Происходит сброс углеводородных газов в факельную систему. В сепараторе появляется конденсат, который по всасы</w:t>
      </w:r>
      <w:r>
        <w:t>вающему трубопроводу поступает в оба насоса и заполняет их. Отвод газовой фазы происходит из нагнетательных линий насосов в сепаратор по трубопроводу Ду 25 через дроссельную шайбу с отверстием 10 мм.</w:t>
      </w:r>
    </w:p>
    <w:p w:rsidR="00000000" w:rsidRDefault="00616EF5"/>
    <w:p w:rsidR="00000000" w:rsidRDefault="00616EF5">
      <w:pPr>
        <w:pStyle w:val="1"/>
      </w:pPr>
      <w:bookmarkStart w:id="236" w:name="sub_16203"/>
      <w:r>
        <w:t>Ситуация 3</w:t>
      </w:r>
    </w:p>
    <w:bookmarkEnd w:id="236"/>
    <w:p w:rsidR="00000000" w:rsidRDefault="00616EF5"/>
    <w:p w:rsidR="00000000" w:rsidRDefault="00616EF5">
      <w:r>
        <w:t>В факельном сепараторе пр</w:t>
      </w:r>
      <w:r>
        <w:t>одолжается накопление жидкости. Жидкость достигает уровня откачки (1/4 высоты сепаратора). Автоматически (дистанционно при соответствующем обосновании в проектной документации (документации на техническое перевооружение)) включается рабочий насос. Открывае</w:t>
      </w:r>
      <w:r>
        <w:t>тся задвижка 4 на нагнетании. Если уровень продолжает повышаться и достигает максимального уровня (1/2 высоты сепаратора), дается команда на включение резервного насоса и открывается задвижка 9 на линии нагнетания резервного насоса.</w:t>
      </w:r>
    </w:p>
    <w:p w:rsidR="00000000" w:rsidRDefault="00616EF5"/>
    <w:p w:rsidR="00000000" w:rsidRDefault="00616EF5">
      <w:pPr>
        <w:pStyle w:val="1"/>
      </w:pPr>
      <w:bookmarkStart w:id="237" w:name="sub_16204"/>
      <w:r>
        <w:t>Ситуация 4</w:t>
      </w:r>
    </w:p>
    <w:bookmarkEnd w:id="237"/>
    <w:p w:rsidR="00000000" w:rsidRDefault="00616EF5"/>
    <w:p w:rsidR="00000000" w:rsidRDefault="00616EF5">
      <w:r>
        <w:t>В результате откачки количество жидкости в сепараторе уменьшается до минимального уровня, который определяется временем остановки насоса. При достижении этого уровня насос (насосы) автоматически выключается (выключаются) и закрываются задвижки на н</w:t>
      </w:r>
      <w:r>
        <w:t>агнетании.</w:t>
      </w:r>
    </w:p>
    <w:p w:rsidR="00000000" w:rsidRDefault="00616EF5"/>
    <w:p w:rsidR="00000000" w:rsidRDefault="00616EF5">
      <w:pPr>
        <w:ind w:firstLine="698"/>
        <w:jc w:val="right"/>
      </w:pPr>
      <w:bookmarkStart w:id="238" w:name="sub_17000"/>
      <w:r>
        <w:rPr>
          <w:rStyle w:val="a3"/>
        </w:rPr>
        <w:t>Приложение N 7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Руководству</w:t>
        </w:r>
      </w:hyperlink>
      <w:r>
        <w:rPr>
          <w:rStyle w:val="a3"/>
        </w:rPr>
        <w:t xml:space="preserve"> по безопасности</w:t>
      </w:r>
      <w:r>
        <w:rPr>
          <w:rStyle w:val="a3"/>
        </w:rPr>
        <w:br/>
        <w:t>факельных систем, утвержденному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Федеральной службы</w:t>
      </w:r>
      <w:r>
        <w:rPr>
          <w:rStyle w:val="a3"/>
        </w:rPr>
        <w:br/>
        <w:t>по экологическому, технологическому</w:t>
      </w:r>
      <w:r>
        <w:rPr>
          <w:rStyle w:val="a3"/>
        </w:rPr>
        <w:br/>
        <w:t>и атомному надзору</w:t>
      </w:r>
      <w:r>
        <w:rPr>
          <w:rStyle w:val="a3"/>
        </w:rPr>
        <w:br/>
        <w:t>от 22 декабря 2021 г. N 45</w:t>
      </w:r>
      <w:r>
        <w:rPr>
          <w:rStyle w:val="a3"/>
        </w:rPr>
        <w:t>0</w:t>
      </w:r>
    </w:p>
    <w:bookmarkEnd w:id="238"/>
    <w:p w:rsidR="00000000" w:rsidRDefault="00616EF5"/>
    <w:p w:rsidR="00000000" w:rsidRDefault="00616EF5">
      <w:pPr>
        <w:pStyle w:val="1"/>
      </w:pPr>
      <w:r>
        <w:t xml:space="preserve">Рекомендуемая схема </w:t>
      </w:r>
      <w:r>
        <w:br/>
        <w:t>расчета</w:t>
      </w:r>
    </w:p>
    <w:p w:rsidR="00000000" w:rsidRDefault="00616EF5"/>
    <w:p w:rsidR="00000000" w:rsidRDefault="00616EF5">
      <w:r>
        <w:pict>
          <v:shape id="_x0000_i1053" type="#_x0000_t75" style="width:11.4pt;height:18.6pt">
            <v:imagedata r:id="rId48" o:title=""/>
          </v:shape>
        </w:pict>
      </w:r>
      <w:r>
        <w:t xml:space="preserve"> - угол отклонения факела от вертикальной оси факельного ствола;</w:t>
      </w:r>
    </w:p>
    <w:p w:rsidR="00000000" w:rsidRDefault="00616EF5">
      <w:r>
        <w:pict>
          <v:shape id="_x0000_i1054" type="#_x0000_t75" style="width:10.8pt;height:18.6pt">
            <v:imagedata r:id="rId49" o:title=""/>
          </v:shape>
        </w:pict>
      </w:r>
      <w:r>
        <w:t xml:space="preserve"> - показатель адиабаты;</w:t>
      </w:r>
    </w:p>
    <w:p w:rsidR="00000000" w:rsidRDefault="00616EF5">
      <w:r>
        <w:pict>
          <v:shape id="_x0000_i1055" type="#_x0000_t75" style="width:20.4pt;height:18.6pt">
            <v:imagedata r:id="rId50" o:title=""/>
          </v:shape>
        </w:pict>
      </w:r>
      <w:r>
        <w:t xml:space="preserve"> - горизонтальное с</w:t>
      </w:r>
      <w:r>
        <w:t>мещение верхней точки факела от среза факельного ствола, м;</w:t>
      </w:r>
    </w:p>
    <w:p w:rsidR="00000000" w:rsidRDefault="00616EF5">
      <w:r>
        <w:pict>
          <v:shape id="_x0000_i1056" type="#_x0000_t75" style="width:21pt;height:18.6pt">
            <v:imagedata r:id="rId51" o:title=""/>
          </v:shape>
        </w:pict>
      </w:r>
      <w:r>
        <w:t xml:space="preserve"> - вертикальное смещение верхней точки пламени от среза факельного ствола, м;</w:t>
      </w:r>
    </w:p>
    <w:p w:rsidR="00000000" w:rsidRDefault="00616EF5">
      <w:r>
        <w:pict>
          <v:shape id="_x0000_i1057" type="#_x0000_t75" style="width:12pt;height:18.6pt">
            <v:imagedata r:id="rId52" o:title=""/>
          </v:shape>
        </w:pict>
      </w:r>
      <w:r>
        <w:t xml:space="preserve"> - молекулярный вес;</w:t>
      </w:r>
    </w:p>
    <w:p w:rsidR="00000000" w:rsidRDefault="00616EF5">
      <w:r>
        <w:pict>
          <v:shape id="_x0000_i1058" type="#_x0000_t75" style="width:11.4pt;height:18.6pt">
            <v:imagedata r:id="rId53" o:title=""/>
          </v:shape>
        </w:pict>
      </w:r>
      <w:r>
        <w:t xml:space="preserve"> - число, 3,14;</w:t>
      </w:r>
    </w:p>
    <w:p w:rsidR="00000000" w:rsidRDefault="00616EF5">
      <w:r>
        <w:pict>
          <v:shape id="_x0000_i1059" type="#_x0000_t75" style="width:9.6pt;height:18.6pt">
            <v:imagedata r:id="rId54" o:title=""/>
          </v:shape>
        </w:pict>
      </w:r>
      <w:r>
        <w:t xml:space="preserve"> - доля излучаемой энергии, проходящая через атмосферу без поглощения;</w:t>
      </w:r>
    </w:p>
    <w:p w:rsidR="00000000" w:rsidRDefault="00616EF5">
      <w:r>
        <w:t xml:space="preserve">I - интенсивность теплового излучения </w:t>
      </w:r>
      <w:r>
        <w:pict>
          <v:shape id="_x0000_i1060" type="#_x0000_t75" style="width:52.8pt;height:24.6pt">
            <v:imagedata r:id="rId55" o:title=""/>
          </v:shape>
        </w:pict>
      </w:r>
      <w:r>
        <w:t>;</w:t>
      </w:r>
    </w:p>
    <w:p w:rsidR="00000000" w:rsidRDefault="00616EF5">
      <w:r>
        <w:t>F - доля выделившейся при факельном горении энергии, перешедшей в излучение;</w:t>
      </w:r>
    </w:p>
    <w:p w:rsidR="00000000" w:rsidRDefault="00616EF5">
      <w:r>
        <w:t>H - высота факельного ствола над</w:t>
      </w:r>
      <w:r>
        <w:t xml:space="preserve"> нулевой отметкой (м);</w:t>
      </w:r>
    </w:p>
    <w:p w:rsidR="00000000" w:rsidRDefault="00616EF5">
      <w:r>
        <w:pict>
          <v:shape id="_x0000_i1061" type="#_x0000_t75" style="width:30pt;height:21pt">
            <v:imagedata r:id="rId56" o:title=""/>
          </v:shape>
        </w:pict>
      </w:r>
      <w:r>
        <w:t xml:space="preserve"> - минимальная высота факельного ствола над нулевой отметкой с точки зрения непревышения предельно допустимого уровня интенсивности теплового потока от факела </w:t>
      </w:r>
      <w:r>
        <w:pict>
          <v:shape id="_x0000_i1062" type="#_x0000_t75" style="width:26.4pt;height:21pt">
            <v:imagedata r:id="rId57" o:title=""/>
          </v:shape>
        </w:pict>
      </w:r>
      <w:r>
        <w:t xml:space="preserve"> в </w:t>
      </w:r>
      <w:r>
        <w:t>заданной точке (на заданном объекте), м;</w:t>
      </w:r>
    </w:p>
    <w:p w:rsidR="00000000" w:rsidRDefault="00616EF5">
      <w:r>
        <w:t>L - длина пламени факела, расстояние от среза факельного ствола до верхней точки, м;</w:t>
      </w:r>
    </w:p>
    <w:p w:rsidR="00000000" w:rsidRDefault="00616EF5">
      <w:r>
        <w:t>М - число Маха потока при выходе из факельного ствола;</w:t>
      </w:r>
    </w:p>
    <w:p w:rsidR="00000000" w:rsidRDefault="00616EF5">
      <w:r>
        <w:pict>
          <v:shape id="_x0000_i1063" type="#_x0000_t75" style="width:21pt;height:21pt">
            <v:imagedata r:id="rId58" o:title=""/>
          </v:shape>
        </w:pict>
      </w:r>
      <w:r>
        <w:t xml:space="preserve"> - абсолютное давление на выходе факель</w:t>
      </w:r>
      <w:r>
        <w:t>ного ствола, кПа;</w:t>
      </w:r>
    </w:p>
    <w:p w:rsidR="00000000" w:rsidRDefault="00616EF5">
      <w:r>
        <w:pict>
          <v:shape id="_x0000_i1064" type="#_x0000_t75" style="width:22.2pt;height:21pt">
            <v:imagedata r:id="rId59" o:title=""/>
          </v:shape>
        </w:pict>
      </w:r>
      <w:r>
        <w:t xml:space="preserve"> - температура сжигаемого газа на срезе факельного ствола, К;</w:t>
      </w:r>
    </w:p>
    <w:p w:rsidR="00000000" w:rsidRDefault="00616EF5">
      <w:r>
        <w:t>Q - интенсивность тепловыделения в факеле, Вт;</w:t>
      </w:r>
    </w:p>
    <w:p w:rsidR="00000000" w:rsidRDefault="00616EF5">
      <w:r>
        <w:pict>
          <v:shape id="_x0000_i1065" type="#_x0000_t75" style="width:30pt;height:21pt">
            <v:imagedata r:id="rId60" o:title=""/>
          </v:shape>
        </w:pict>
      </w:r>
      <w:r>
        <w:t xml:space="preserve"> - уровень интенсивности излучения (от факельного горения и солнечного потока) в заданной точке (на объекте), </w:t>
      </w:r>
      <w:r>
        <w:pict>
          <v:shape id="_x0000_i1066" type="#_x0000_t75" style="width:40.8pt;height:22.8pt">
            <v:imagedata r:id="rId61" o:title=""/>
          </v:shape>
        </w:pict>
      </w:r>
      <w:r>
        <w:t>;</w:t>
      </w:r>
    </w:p>
    <w:p w:rsidR="00000000" w:rsidRDefault="00616EF5">
      <w:r>
        <w:pict>
          <v:shape id="_x0000_i1067" type="#_x0000_t75" style="width:24.6pt;height:21pt">
            <v:imagedata r:id="rId62" o:title=""/>
          </v:shape>
        </w:pict>
      </w:r>
      <w:r>
        <w:t xml:space="preserve"> - заданный (интересующий) уровень ин</w:t>
      </w:r>
      <w:r>
        <w:t xml:space="preserve">тенсивности излучения, </w:t>
      </w:r>
      <w:r>
        <w:pict>
          <v:shape id="_x0000_i1068" type="#_x0000_t75" style="width:40.8pt;height:22.8pt">
            <v:imagedata r:id="rId63" o:title=""/>
          </v:shape>
        </w:pict>
      </w:r>
      <w:r>
        <w:t>;</w:t>
      </w:r>
    </w:p>
    <w:p w:rsidR="00000000" w:rsidRDefault="00616EF5">
      <w:r>
        <w:pict>
          <v:shape id="_x0000_i1069" type="#_x0000_t75" style="width:31.8pt;height:21pt">
            <v:imagedata r:id="rId64" o:title=""/>
          </v:shape>
        </w:pict>
      </w:r>
      <w:r>
        <w:t xml:space="preserve"> - массовый расход сжигаемого газа в факеле, кг/сек;</w:t>
      </w:r>
    </w:p>
    <w:p w:rsidR="00000000" w:rsidRDefault="00616EF5">
      <w:r>
        <w:pict>
          <v:shape id="_x0000_i1070" type="#_x0000_t75" style="width:17.4pt;height:21pt">
            <v:imagedata r:id="rId65" o:title=""/>
          </v:shape>
        </w:pict>
      </w:r>
      <w:r>
        <w:t xml:space="preserve"> - уровень интенсивности от факельного горения излучения в заданной точ</w:t>
      </w:r>
      <w:r>
        <w:t xml:space="preserve">ке (на объекте), </w:t>
      </w:r>
      <w:r>
        <w:pict>
          <v:shape id="_x0000_i1071" type="#_x0000_t75" style="width:40.8pt;height:22.8pt">
            <v:imagedata r:id="rId66" o:title=""/>
          </v:shape>
        </w:pict>
      </w:r>
      <w:r>
        <w:t>;</w:t>
      </w:r>
    </w:p>
    <w:p w:rsidR="00000000" w:rsidRDefault="00616EF5">
      <w:r>
        <w:pict>
          <v:shape id="_x0000_i1072" type="#_x0000_t75" style="width:26.4pt;height:21pt">
            <v:imagedata r:id="rId67" o:title=""/>
          </v:shape>
        </w:pict>
      </w:r>
      <w:r>
        <w:t xml:space="preserve"> - уровень предельно допустимой интенсивности излучения, </w:t>
      </w:r>
      <w:r>
        <w:pict>
          <v:shape id="_x0000_i1073" type="#_x0000_t75" style="width:40.8pt;height:22.8pt">
            <v:imagedata r:id="rId68" o:title=""/>
          </v:shape>
        </w:pict>
      </w:r>
      <w:r>
        <w:t>;</w:t>
      </w:r>
    </w:p>
    <w:p w:rsidR="00000000" w:rsidRDefault="00616EF5">
      <w:r>
        <w:pict>
          <v:shape id="_x0000_i1074" type="#_x0000_t75" style="width:33.6pt;height:21pt">
            <v:imagedata r:id="rId69" o:title=""/>
          </v:shape>
        </w:pict>
      </w:r>
      <w:r>
        <w:t xml:space="preserve"> - уровень предельно допустимой инт</w:t>
      </w:r>
      <w:r>
        <w:t xml:space="preserve">енсивности излучения от факела, </w:t>
      </w:r>
      <w:r>
        <w:pict>
          <v:shape id="_x0000_i1075" type="#_x0000_t75" style="width:40.8pt;height:22.8pt">
            <v:imagedata r:id="rId70" o:title=""/>
          </v:shape>
        </w:pict>
      </w:r>
      <w:r>
        <w:t>;</w:t>
      </w:r>
    </w:p>
    <w:p w:rsidR="00000000" w:rsidRDefault="00616EF5">
      <w:r>
        <w:pict>
          <v:shape id="_x0000_i1076" type="#_x0000_t75" style="width:16.8pt;height:21pt">
            <v:imagedata r:id="rId71" o:title=""/>
          </v:shape>
        </w:pict>
      </w:r>
      <w:r>
        <w:t xml:space="preserve"> - уровень интенсивности от прямой солнечной радиации в заданной точке (на объекте), </w:t>
      </w:r>
      <w:r>
        <w:pict>
          <v:shape id="_x0000_i1077" type="#_x0000_t75" style="width:46.8pt;height:22.8pt">
            <v:imagedata r:id="rId72" o:title=""/>
          </v:shape>
        </w:pict>
      </w:r>
      <w:r>
        <w:t>, определяется по максимальному</w:t>
      </w:r>
      <w:r>
        <w:t xml:space="preserve"> для данной точки значению за все время года (рекомендуется определять по </w:t>
      </w:r>
      <w:hyperlink r:id="rId73" w:history="1">
        <w:r>
          <w:rPr>
            <w:rStyle w:val="a4"/>
          </w:rPr>
          <w:t>ГОСТ Р 53615-2009</w:t>
        </w:r>
      </w:hyperlink>
      <w:r>
        <w:t xml:space="preserve"> (МЭК 60721-2-4:1987) "Национальный стандарт Российской Федерации. Воздействие природных внешни</w:t>
      </w:r>
      <w:r>
        <w:t xml:space="preserve">х условий на технические изделия. Общая характеристика. Солнечное излучение и температура", утвержденный и введенный в действие </w:t>
      </w:r>
      <w:hyperlink r:id="rId74" w:history="1">
        <w:r>
          <w:rPr>
            <w:rStyle w:val="a4"/>
          </w:rPr>
          <w:t>приказом</w:t>
        </w:r>
      </w:hyperlink>
      <w:r>
        <w:t xml:space="preserve"> Ростехрегулирования от 15 декабря 2009 г. N 947-ст</w:t>
      </w:r>
      <w:r>
        <w:t>);</w:t>
      </w:r>
    </w:p>
    <w:p w:rsidR="00000000" w:rsidRDefault="00616EF5">
      <w:r>
        <w:pict>
          <v:shape id="_x0000_i1078" type="#_x0000_t75" style="width:31.8pt;height:21pt">
            <v:imagedata r:id="rId75" o:title=""/>
          </v:shape>
        </w:pict>
      </w:r>
      <w:r>
        <w:t xml:space="preserve"> - теплота сгорания топлива на факеле, Дж/кг;</w:t>
      </w:r>
    </w:p>
    <w:p w:rsidR="00000000" w:rsidRDefault="00616EF5">
      <w:r>
        <w:pict>
          <v:shape id="_x0000_i1079" type="#_x0000_t75" style="width:16.8pt;height:21pt">
            <v:imagedata r:id="rId76" o:title=""/>
          </v:shape>
        </w:pict>
      </w:r>
      <w:r>
        <w:t xml:space="preserve"> - скорость звука в потоке истекающего газа на срезе факельного ствола, м/с;</w:t>
      </w:r>
    </w:p>
    <w:p w:rsidR="00000000" w:rsidRDefault="00616EF5">
      <w:r>
        <w:t>Z - расстояние от центра излучения пламени до верха ствола</w:t>
      </w:r>
      <w:r>
        <w:t>, м;</w:t>
      </w:r>
    </w:p>
    <w:p w:rsidR="00000000" w:rsidRDefault="00616EF5">
      <w:r>
        <w:t>d - диаметр факельного ствола, м;</w:t>
      </w:r>
    </w:p>
    <w:p w:rsidR="00000000" w:rsidRDefault="00616EF5">
      <w:r>
        <w:t>h - высота заданной точки над нулевой отметкой (высота объекта), м;</w:t>
      </w:r>
    </w:p>
    <w:p w:rsidR="00000000" w:rsidRDefault="00616EF5">
      <w:r>
        <w:t>r - расстояние от центра факельного пламени до заданной точки (объекта), м;</w:t>
      </w:r>
    </w:p>
    <w:p w:rsidR="00000000" w:rsidRDefault="00616EF5">
      <w:r>
        <w:pict>
          <v:shape id="_x0000_i1080" type="#_x0000_t75" style="width:20.4pt;height:21pt">
            <v:imagedata r:id="rId77" o:title=""/>
          </v:shape>
        </w:pict>
      </w:r>
      <w:r>
        <w:t xml:space="preserve"> - расстояние до точки, где наблюдает</w:t>
      </w:r>
      <w:r>
        <w:t xml:space="preserve">ся заданный уровень излучения </w:t>
      </w:r>
      <w:r>
        <w:pict>
          <v:shape id="_x0000_i1081" type="#_x0000_t75" style="width:24.6pt;height:21pt">
            <v:imagedata r:id="rId78" o:title=""/>
          </v:shape>
        </w:pict>
      </w:r>
      <w:r>
        <w:t>, м;</w:t>
      </w:r>
    </w:p>
    <w:p w:rsidR="00000000" w:rsidRDefault="00616EF5">
      <w:r>
        <w:t>x - расстояние от факельного ствола (по горизонтали) до заданной точки (объекта), м;</w:t>
      </w:r>
    </w:p>
    <w:p w:rsidR="00000000" w:rsidRDefault="00616EF5">
      <w:r>
        <w:pict>
          <v:shape id="_x0000_i1082" type="#_x0000_t75" style="width:26.4pt;height:21pt">
            <v:imagedata r:id="rId79" o:title=""/>
          </v:shape>
        </w:pict>
      </w:r>
      <w:r>
        <w:t xml:space="preserve"> - минимальное расстояние (по горизонтали) между факельным стволо</w:t>
      </w:r>
      <w:r>
        <w:t xml:space="preserve">м и заданной точкой (объектом) с точки зрения непревышения предельно допустимого уровня интенсивности теплового потока от факела </w:t>
      </w:r>
      <w:r>
        <w:pict>
          <v:shape id="_x0000_i1083" type="#_x0000_t75" style="width:26.4pt;height:21pt">
            <v:imagedata r:id="rId80" o:title=""/>
          </v:shape>
        </w:pict>
      </w:r>
      <w:r>
        <w:t>, м;</w:t>
      </w:r>
    </w:p>
    <w:p w:rsidR="00000000" w:rsidRDefault="00616EF5">
      <w:r>
        <w:pict>
          <v:shape id="_x0000_i1084" type="#_x0000_t75" style="width:19.2pt;height:21pt">
            <v:imagedata r:id="rId81" o:title=""/>
          </v:shape>
        </w:pict>
      </w:r>
      <w:r>
        <w:t xml:space="preserve"> - скорость потока на срезе факельного ствола, м/с;</w:t>
      </w:r>
    </w:p>
    <w:p w:rsidR="00000000" w:rsidRDefault="00616EF5">
      <w:r>
        <w:pict>
          <v:shape id="_x0000_i1085" type="#_x0000_t75" style="width:46.2pt;height:21pt">
            <v:imagedata r:id="rId82" o:title=""/>
          </v:shape>
        </w:pict>
      </w:r>
      <w:r>
        <w:t xml:space="preserve"> - средняя (за год) скорость ветра на уровне центра пламени, м/с;</w:t>
      </w:r>
    </w:p>
    <w:p w:rsidR="00000000" w:rsidRDefault="00616EF5">
      <w:r>
        <w:pict>
          <v:shape id="_x0000_i1086" type="#_x0000_t75" style="width:33.6pt;height:21pt">
            <v:imagedata r:id="rId83" o:title=""/>
          </v:shape>
        </w:pict>
      </w:r>
      <w:r>
        <w:t xml:space="preserve"> - скорость ветра на уровне цен</w:t>
      </w:r>
      <w:r>
        <w:t>тра пламени, м/с;</w:t>
      </w:r>
    </w:p>
    <w:p w:rsidR="00000000" w:rsidRDefault="00616EF5">
      <w:r>
        <w:pict>
          <v:shape id="_x0000_i1087" type="#_x0000_t75" style="width:41.4pt;height:21pt">
            <v:imagedata r:id="rId84" o:title=""/>
          </v:shape>
        </w:pict>
      </w:r>
      <w:r>
        <w:t xml:space="preserve"> - скорость ветра на высоте ее замера, м/с;</w:t>
      </w:r>
    </w:p>
    <w:p w:rsidR="00000000" w:rsidRDefault="00616EF5">
      <w:r>
        <w:pict>
          <v:shape id="_x0000_i1088" type="#_x0000_t75" style="width:40.8pt;height:21pt">
            <v:imagedata r:id="rId85" o:title=""/>
          </v:shape>
        </w:pict>
      </w:r>
      <w:r>
        <w:t xml:space="preserve"> - высота замера скорости, м/с;</w:t>
      </w:r>
    </w:p>
    <w:p w:rsidR="00000000" w:rsidRDefault="00616EF5">
      <w:r>
        <w:pict>
          <v:shape id="_x0000_i1089" type="#_x0000_t75" style="width:24pt;height:21pt">
            <v:imagedata r:id="rId86" o:title=""/>
          </v:shape>
        </w:pict>
      </w:r>
      <w:r>
        <w:t xml:space="preserve"> - характерный размер шероховатости, м.</w:t>
      </w:r>
    </w:p>
    <w:p w:rsidR="00000000" w:rsidRDefault="00616EF5"/>
    <w:p w:rsidR="00000000" w:rsidRDefault="00616EF5">
      <w:pPr>
        <w:pStyle w:val="1"/>
      </w:pPr>
      <w:bookmarkStart w:id="239" w:name="sub_17001"/>
      <w:r>
        <w:t>Расчет поля теплового излучения</w:t>
      </w:r>
    </w:p>
    <w:bookmarkEnd w:id="239"/>
    <w:p w:rsidR="00000000" w:rsidRDefault="00616EF5"/>
    <w:p w:rsidR="00000000" w:rsidRDefault="00616EF5">
      <w:r>
        <w:t>Интенсивность излучения от факела факельной установки определ</w:t>
      </w:r>
      <w:r>
        <w:t>яется соотношением переноса излучения в приближении сферического поля излучения:</w:t>
      </w:r>
    </w:p>
    <w:p w:rsidR="00000000" w:rsidRDefault="00616EF5"/>
    <w:p w:rsidR="00000000" w:rsidRDefault="00616EF5">
      <w:pPr>
        <w:ind w:firstLine="698"/>
        <w:jc w:val="center"/>
      </w:pPr>
      <w:r>
        <w:pict>
          <v:shape id="_x0000_i1090" type="#_x0000_t75" style="width:62.4pt;height:49.8pt">
            <v:imagedata r:id="rId87" o:title=""/>
          </v:shape>
        </w:pict>
      </w:r>
      <w:r>
        <w:t>,</w:t>
      </w:r>
    </w:p>
    <w:p w:rsidR="00000000" w:rsidRDefault="00616EF5"/>
    <w:p w:rsidR="00000000" w:rsidRDefault="00616EF5">
      <w:r>
        <w:t xml:space="preserve">где </w:t>
      </w:r>
      <w:r>
        <w:pict>
          <v:shape id="_x0000_i1091" type="#_x0000_t75" style="width:88.2pt;height:21pt">
            <v:imagedata r:id="rId88" o:title=""/>
          </v:shape>
        </w:pict>
      </w:r>
      <w:r>
        <w:t>,</w:t>
      </w:r>
    </w:p>
    <w:p w:rsidR="00000000" w:rsidRDefault="00616EF5">
      <w:r>
        <w:t xml:space="preserve">Расстояние </w:t>
      </w:r>
      <w:r>
        <w:pict>
          <v:shape id="_x0000_i1092" type="#_x0000_t75" style="width:20.4pt;height:21pt">
            <v:imagedata r:id="rId89" o:title=""/>
          </v:shape>
        </w:pict>
      </w:r>
      <w:r>
        <w:t xml:space="preserve"> до точки, где наблюдается заданный уровень излуч</w:t>
      </w:r>
      <w:r>
        <w:t xml:space="preserve">ения </w:t>
      </w:r>
      <w:r>
        <w:pict>
          <v:shape id="_x0000_i1093" type="#_x0000_t75" style="width:24.6pt;height:21pt">
            <v:imagedata r:id="rId90" o:title=""/>
          </v:shape>
        </w:pict>
      </w:r>
      <w:r>
        <w:t>, определяется по формуле:</w:t>
      </w:r>
    </w:p>
    <w:p w:rsidR="00000000" w:rsidRDefault="00616EF5"/>
    <w:p w:rsidR="00000000" w:rsidRDefault="00616EF5">
      <w:pPr>
        <w:ind w:firstLine="698"/>
        <w:jc w:val="center"/>
      </w:pPr>
      <w:r>
        <w:pict>
          <v:shape id="_x0000_i1094" type="#_x0000_t75" style="width:110.4pt;height:50.4pt">
            <v:imagedata r:id="rId91" o:title=""/>
          </v:shape>
        </w:pict>
      </w:r>
      <w:r>
        <w:t>.</w:t>
      </w:r>
    </w:p>
    <w:p w:rsidR="00000000" w:rsidRDefault="00616EF5"/>
    <w:p w:rsidR="00000000" w:rsidRDefault="00616EF5">
      <w:r>
        <w:t>Доля выделившейся энергии, перешедшая в излучение, в приоритетном порядке определяется из эмпирической/справочным информации с учетом конкретных дан</w:t>
      </w:r>
      <w:r>
        <w:t xml:space="preserve">ных факельной системы. При отсутствии информации для конкретной факельной системы используются данные по веществу из </w:t>
      </w:r>
      <w:hyperlink w:anchor="sub_17100" w:history="1">
        <w:r>
          <w:rPr>
            <w:rStyle w:val="a4"/>
          </w:rPr>
          <w:t>таблицы N 1</w:t>
        </w:r>
      </w:hyperlink>
      <w:r>
        <w:t>.</w:t>
      </w:r>
    </w:p>
    <w:p w:rsidR="00000000" w:rsidRDefault="00616EF5"/>
    <w:p w:rsidR="00000000" w:rsidRDefault="00616EF5">
      <w:pPr>
        <w:ind w:firstLine="698"/>
        <w:jc w:val="right"/>
      </w:pPr>
      <w:bookmarkStart w:id="240" w:name="sub_17100"/>
      <w:r>
        <w:rPr>
          <w:rStyle w:val="a3"/>
        </w:rPr>
        <w:t>Таблица N 1</w:t>
      </w:r>
    </w:p>
    <w:bookmarkEnd w:id="240"/>
    <w:p w:rsidR="00000000" w:rsidRDefault="00616EF5"/>
    <w:p w:rsidR="00000000" w:rsidRDefault="00616EF5">
      <w:pPr>
        <w:pStyle w:val="1"/>
      </w:pPr>
      <w:r>
        <w:t>Значение коэффициента F</w:t>
      </w:r>
    </w:p>
    <w:p w:rsidR="00000000" w:rsidRDefault="00616E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8"/>
        <w:gridCol w:w="51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Вещество</w:t>
            </w:r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6EF5">
            <w:pPr>
              <w:pStyle w:val="a9"/>
            </w:pPr>
            <w:r>
              <w:t>Водород</w:t>
            </w:r>
          </w:p>
        </w:tc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9"/>
            </w:pPr>
            <w:r>
              <w:t>0,17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6EF5">
            <w:pPr>
              <w:pStyle w:val="a9"/>
            </w:pPr>
            <w:r>
              <w:t>Метан/Природный газ</w:t>
            </w:r>
          </w:p>
        </w:tc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9"/>
            </w:pPr>
            <w:r>
              <w:t>0,24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6EF5">
            <w:pPr>
              <w:pStyle w:val="a9"/>
            </w:pPr>
            <w:r>
              <w:t>Пропан</w:t>
            </w:r>
          </w:p>
        </w:tc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9"/>
            </w:pPr>
            <w:r>
              <w:t>0,34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9"/>
            </w:pPr>
            <w:r>
              <w:t>Бутан</w:t>
            </w:r>
          </w:p>
        </w:tc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9"/>
            </w:pPr>
            <w: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9"/>
            </w:pPr>
            <w:r>
              <w:t>Этилен</w:t>
            </w:r>
          </w:p>
        </w:tc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9"/>
            </w:pPr>
            <w:r>
              <w:t>0,39</w:t>
            </w:r>
          </w:p>
        </w:tc>
      </w:tr>
    </w:tbl>
    <w:p w:rsidR="00000000" w:rsidRDefault="00616EF5"/>
    <w:p w:rsidR="00000000" w:rsidRDefault="00616EF5">
      <w:r>
        <w:t>Для иных сред, не приведенных в таблице, величина F принимается равной 0,4.</w:t>
      </w:r>
    </w:p>
    <w:p w:rsidR="00000000" w:rsidRDefault="00616EF5">
      <w:r>
        <w:t xml:space="preserve">Доля излучаемой энергии, проходящая через атмосферу без поглощения </w:t>
      </w:r>
      <w:r>
        <w:pict>
          <v:shape id="_x0000_i1095" type="#_x0000_t75" style="width:9.6pt;height:18.6pt">
            <v:imagedata r:id="rId92" o:title=""/>
          </v:shape>
        </w:pict>
      </w:r>
      <w:r>
        <w:t>, определяется по соотношению:</w:t>
      </w:r>
    </w:p>
    <w:p w:rsidR="00000000" w:rsidRDefault="00616EF5"/>
    <w:p w:rsidR="00000000" w:rsidRDefault="00616EF5">
      <w:pPr>
        <w:ind w:firstLine="698"/>
        <w:jc w:val="center"/>
      </w:pPr>
      <w:r>
        <w:pict>
          <v:shape id="_x0000_i1096" type="#_x0000_t75" style="width:105pt;height:20.4pt">
            <v:imagedata r:id="rId93" o:title=""/>
          </v:shape>
        </w:pict>
      </w:r>
      <w:r>
        <w:t>.</w:t>
      </w:r>
    </w:p>
    <w:p w:rsidR="00000000" w:rsidRDefault="00616EF5"/>
    <w:p w:rsidR="00000000" w:rsidRDefault="00616EF5">
      <w:pPr>
        <w:pStyle w:val="1"/>
      </w:pPr>
      <w:bookmarkStart w:id="241" w:name="sub_17002"/>
      <w:r>
        <w:t>Расчет параметров истечения</w:t>
      </w:r>
    </w:p>
    <w:bookmarkEnd w:id="241"/>
    <w:p w:rsidR="00000000" w:rsidRDefault="00616EF5"/>
    <w:p w:rsidR="00000000" w:rsidRDefault="00616EF5">
      <w:r>
        <w:t xml:space="preserve">При известных скорости движения среды </w:t>
      </w:r>
      <w:r>
        <w:pict>
          <v:shape id="_x0000_i1097" type="#_x0000_t75" style="width:19.2pt;height:21pt">
            <v:imagedata r:id="rId94" o:title=""/>
          </v:shape>
        </w:pict>
      </w:r>
      <w:r>
        <w:t xml:space="preserve"> и скорости звука </w:t>
      </w:r>
      <w:r>
        <w:pict>
          <v:shape id="_x0000_i1098" type="#_x0000_t75" style="width:16.8pt;height:21pt">
            <v:imagedata r:id="rId95" o:title=""/>
          </v:shape>
        </w:pict>
      </w:r>
      <w:r>
        <w:t xml:space="preserve"> на срезе факельного ствола число Маха на срезе факельного ствола определяется как:</w:t>
      </w:r>
    </w:p>
    <w:p w:rsidR="00000000" w:rsidRDefault="00616EF5"/>
    <w:p w:rsidR="00000000" w:rsidRDefault="00616EF5">
      <w:pPr>
        <w:ind w:firstLine="698"/>
        <w:jc w:val="center"/>
      </w:pPr>
      <w:r>
        <w:pict>
          <v:shape id="_x0000_i1099" type="#_x0000_t75" style="width:55.8pt;height:45pt">
            <v:imagedata r:id="rId96" o:title=""/>
          </v:shape>
        </w:pict>
      </w:r>
      <w:r>
        <w:t>,</w:t>
      </w:r>
    </w:p>
    <w:p w:rsidR="00000000" w:rsidRDefault="00616EF5"/>
    <w:p w:rsidR="00000000" w:rsidRDefault="00616EF5">
      <w:r>
        <w:t xml:space="preserve">где </w:t>
      </w:r>
      <w:r>
        <w:pict>
          <v:shape id="_x0000_i1100" type="#_x0000_t75" style="width:115.2pt;height:45pt">
            <v:imagedata r:id="rId97" o:title=""/>
          </v:shape>
        </w:pict>
      </w:r>
    </w:p>
    <w:p w:rsidR="00000000" w:rsidRDefault="00616EF5">
      <w:r>
        <w:t>Число Маха на выходе потока из среза факельного ствола при известных</w:t>
      </w:r>
      <w:r>
        <w:t xml:space="preserve"> температуре </w:t>
      </w:r>
      <w:r>
        <w:pict>
          <v:shape id="_x0000_i1101" type="#_x0000_t75" style="width:22.2pt;height:21pt">
            <v:imagedata r:id="rId98" o:title=""/>
          </v:shape>
        </w:pict>
      </w:r>
      <w:r>
        <w:t xml:space="preserve"> и давлении </w:t>
      </w:r>
      <w:r>
        <w:pict>
          <v:shape id="_x0000_i1102" type="#_x0000_t75" style="width:21pt;height:21pt">
            <v:imagedata r:id="rId99" o:title=""/>
          </v:shape>
        </w:pict>
      </w:r>
      <w:r>
        <w:t xml:space="preserve"> на срезе определяется по следующему соотношению:</w:t>
      </w:r>
    </w:p>
    <w:p w:rsidR="00000000" w:rsidRDefault="00616EF5"/>
    <w:p w:rsidR="00000000" w:rsidRDefault="00616EF5">
      <w:pPr>
        <w:ind w:firstLine="698"/>
        <w:jc w:val="center"/>
      </w:pPr>
      <w:r>
        <w:pict>
          <v:shape id="_x0000_i1103" type="#_x0000_t75" style="width:204.6pt;height:60pt">
            <v:imagedata r:id="rId100" o:title=""/>
          </v:shape>
        </w:pict>
      </w:r>
    </w:p>
    <w:p w:rsidR="00000000" w:rsidRDefault="00616EF5"/>
    <w:p w:rsidR="00000000" w:rsidRDefault="00616EF5">
      <w:pPr>
        <w:pStyle w:val="1"/>
      </w:pPr>
      <w:bookmarkStart w:id="242" w:name="sub_17003"/>
      <w:r>
        <w:t>Расчет характеристик факела</w:t>
      </w:r>
    </w:p>
    <w:bookmarkEnd w:id="242"/>
    <w:p w:rsidR="00000000" w:rsidRDefault="00616EF5"/>
    <w:p w:rsidR="00000000" w:rsidRDefault="00616EF5">
      <w:r>
        <w:t>Длина факела в зависимости от Q интенсивности тепловыделения в факеле определяется по формуле:</w:t>
      </w:r>
    </w:p>
    <w:p w:rsidR="00000000" w:rsidRDefault="00616EF5"/>
    <w:p w:rsidR="00000000" w:rsidRDefault="00616EF5">
      <w:pPr>
        <w:ind w:firstLine="698"/>
        <w:jc w:val="center"/>
      </w:pPr>
      <w:r>
        <w:pict>
          <v:shape id="_x0000_i1104" type="#_x0000_t75" style="width:109.8pt;height:22.8pt">
            <v:imagedata r:id="rId101" o:title=""/>
          </v:shape>
        </w:pict>
      </w:r>
      <w:r>
        <w:t>,</w:t>
      </w:r>
    </w:p>
    <w:p w:rsidR="00000000" w:rsidRDefault="00616EF5"/>
    <w:p w:rsidR="00000000" w:rsidRDefault="00616EF5">
      <w:r>
        <w:t>где Q находится в пределах от 30 МВт д</w:t>
      </w:r>
      <w:r>
        <w:t>о 10 ГВт.</w:t>
      </w:r>
    </w:p>
    <w:p w:rsidR="00000000" w:rsidRDefault="00616EF5">
      <w:r>
        <w:t>Расстояние от центра излучения пламени до верха ствола определяется по формуле:</w:t>
      </w:r>
    </w:p>
    <w:p w:rsidR="00000000" w:rsidRDefault="00616EF5"/>
    <w:p w:rsidR="00000000" w:rsidRDefault="00616EF5">
      <w:pPr>
        <w:ind w:firstLine="698"/>
        <w:jc w:val="center"/>
      </w:pPr>
      <w:r>
        <w:t>Z = L / 2</w:t>
      </w:r>
    </w:p>
    <w:p w:rsidR="00000000" w:rsidRDefault="00616EF5"/>
    <w:p w:rsidR="00000000" w:rsidRDefault="00616EF5">
      <w:r>
        <w:t xml:space="preserve">Горизонтальное </w:t>
      </w:r>
      <w:r>
        <w:pict>
          <v:shape id="_x0000_i1105" type="#_x0000_t75" style="width:20.4pt;height:18.6pt">
            <v:imagedata r:id="rId102" o:title=""/>
          </v:shape>
        </w:pict>
      </w:r>
      <w:r>
        <w:t xml:space="preserve"> и вертикальное </w:t>
      </w:r>
      <w:r>
        <w:pict>
          <v:shape id="_x0000_i1106" type="#_x0000_t75" style="width:21pt;height:18.6pt">
            <v:imagedata r:id="rId103" o:title=""/>
          </v:shape>
        </w:pict>
      </w:r>
      <w:r>
        <w:t xml:space="preserve"> смещения верхней точки факела от среза факельного </w:t>
      </w:r>
      <w:r>
        <w:t xml:space="preserve">ствола определяются по </w:t>
      </w:r>
      <w:hyperlink w:anchor="sub_17200" w:history="1">
        <w:r>
          <w:rPr>
            <w:rStyle w:val="a4"/>
          </w:rPr>
          <w:t>таблице N 2</w:t>
        </w:r>
      </w:hyperlink>
      <w:r>
        <w:t>.</w:t>
      </w:r>
    </w:p>
    <w:p w:rsidR="00000000" w:rsidRDefault="00616EF5"/>
    <w:p w:rsidR="00000000" w:rsidRDefault="00616EF5">
      <w:pPr>
        <w:ind w:firstLine="698"/>
        <w:jc w:val="right"/>
      </w:pPr>
      <w:bookmarkStart w:id="243" w:name="sub_17200"/>
      <w:r>
        <w:rPr>
          <w:rStyle w:val="a3"/>
        </w:rPr>
        <w:t>Таблица N 2</w:t>
      </w:r>
    </w:p>
    <w:bookmarkEnd w:id="243"/>
    <w:p w:rsidR="00000000" w:rsidRDefault="00616EF5"/>
    <w:p w:rsidR="00000000" w:rsidRDefault="00616EF5">
      <w:pPr>
        <w:pStyle w:val="1"/>
      </w:pPr>
      <w:r>
        <w:t>Зависимость смещений факела от скорости истечения и скорости ветра</w:t>
      </w:r>
    </w:p>
    <w:p w:rsidR="00000000" w:rsidRDefault="00616E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0"/>
        <w:gridCol w:w="3400"/>
        <w:gridCol w:w="34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pict>
                <v:shape id="_x0000_i1107" type="#_x0000_t75" style="width:61.2pt;height:17.4pt">
                  <v:imagedata r:id="rId104" o:title=""/>
                </v:shape>
              </w:pic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pict>
                <v:shape id="_x0000_i1108" type="#_x0000_t75" style="width:16.8pt;height:15pt">
                  <v:imagedata r:id="rId105" o:title=""/>
                </v:shape>
              </w:pict>
            </w:r>
            <w:r>
              <w:t>, м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pict>
                <v:shape id="_x0000_i1109" type="#_x0000_t75" style="width:18.6pt;height:15pt">
                  <v:imagedata r:id="rId106" o:title=""/>
                </v:shape>
              </w:pict>
            </w:r>
            <w:r>
              <w:t>, 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0,00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0,000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1,000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0,01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0,218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0,750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0,05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0,681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0,560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0,10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0,782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0,443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0,15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0,842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0,364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0,20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0,879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0,313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0,25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0,910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0,271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0,30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0,929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0,242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0,35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0,943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0,217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0,40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0,947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0,196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0,50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0,950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0,161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0,60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0,952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0,140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0,70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0,956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0,122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0,80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0,960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0,111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0,90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0,964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1,00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0,965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0,092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1,10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0,968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0,089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1,20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0,972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0,086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&gt; 1.3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1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</w:t>
            </w:r>
          </w:p>
        </w:tc>
      </w:tr>
    </w:tbl>
    <w:p w:rsidR="00000000" w:rsidRDefault="00616EF5"/>
    <w:p w:rsidR="00000000" w:rsidRDefault="00616EF5">
      <w:r>
        <w:t>Угол отклонения факела от вертикальной оси факельного с</w:t>
      </w:r>
      <w:r>
        <w:t xml:space="preserve">твола </w:t>
      </w:r>
      <w:r>
        <w:pict>
          <v:shape id="_x0000_i1110" type="#_x0000_t75" style="width:11.4pt;height:18.6pt">
            <v:imagedata r:id="rId107" o:title=""/>
          </v:shape>
        </w:pict>
      </w:r>
      <w:r>
        <w:t xml:space="preserve"> определяется:</w:t>
      </w:r>
    </w:p>
    <w:p w:rsidR="00000000" w:rsidRDefault="00616EF5"/>
    <w:p w:rsidR="00000000" w:rsidRDefault="00616EF5">
      <w:pPr>
        <w:ind w:firstLine="698"/>
        <w:jc w:val="center"/>
      </w:pPr>
      <w:r>
        <w:pict>
          <v:shape id="_x0000_i1111" type="#_x0000_t75" style="width:75pt;height:20.4pt">
            <v:imagedata r:id="rId108" o:title=""/>
          </v:shape>
        </w:pict>
      </w:r>
      <w:r>
        <w:t>.</w:t>
      </w:r>
    </w:p>
    <w:p w:rsidR="00000000" w:rsidRDefault="00616EF5"/>
    <w:p w:rsidR="00000000" w:rsidRDefault="00616EF5">
      <w:r>
        <w:t xml:space="preserve">Для расчетов необходимо знать среднюю (за год) скорость ветра </w:t>
      </w:r>
      <w:r>
        <w:pict>
          <v:shape id="_x0000_i1112" type="#_x0000_t75" style="width:46.2pt;height:21pt">
            <v:imagedata r:id="rId109" o:title=""/>
          </v:shape>
        </w:pict>
      </w:r>
      <w:r>
        <w:t xml:space="preserve">, на уровне центра пламени </w:t>
      </w:r>
      <w:r>
        <w:pict>
          <v:shape id="_x0000_i1113" type="#_x0000_t75" style="width:62.4pt;height:20.4pt">
            <v:imagedata r:id="rId110" o:title=""/>
          </v:shape>
        </w:pict>
      </w:r>
      <w:r>
        <w:t>.</w:t>
      </w:r>
      <w:r>
        <w:t xml:space="preserve"> Эта величина </w:t>
      </w:r>
      <w:r>
        <w:pict>
          <v:shape id="_x0000_i1114" type="#_x0000_t75" style="width:46.2pt;height:21pt">
            <v:imagedata r:id="rId111" o:title=""/>
          </v:shape>
        </w:pict>
      </w:r>
      <w:r>
        <w:t xml:space="preserve"> определяется по реализующимся за длительный период времени на высоте пламени скоростям ветра </w:t>
      </w:r>
      <w:r>
        <w:pict>
          <v:shape id="_x0000_i1115" type="#_x0000_t75" style="width:33.6pt;height:21pt">
            <v:imagedata r:id="rId112" o:title=""/>
          </v:shape>
        </w:pict>
      </w:r>
      <w:r>
        <w:t xml:space="preserve"> путем осреднения (с различным шагом). Расчетная скорость ветра </w:t>
      </w:r>
      <w:r>
        <w:pict>
          <v:shape id="_x0000_i1116" type="#_x0000_t75" style="width:33.6pt;height:21pt">
            <v:imagedata r:id="rId113" o:title=""/>
          </v:shape>
        </w:pict>
      </w:r>
      <w:r>
        <w:t xml:space="preserve"> на уровне центра пламени определяется по доступным (за длительный многолетний период времени) метеорологическим данным замеров модуля скорости ветра </w:t>
      </w:r>
      <w:r>
        <w:pict>
          <v:shape id="_x0000_i1117" type="#_x0000_t75" style="width:41.4pt;height:21pt">
            <v:imagedata r:id="rId114" o:title=""/>
          </v:shape>
        </w:pict>
      </w:r>
      <w:r>
        <w:t xml:space="preserve"> на определенной высоте </w:t>
      </w:r>
      <w:r>
        <w:pict>
          <v:shape id="_x0000_i1118" type="#_x0000_t75" style="width:40.8pt;height:21pt">
            <v:imagedata r:id="rId115" o:title=""/>
          </v:shape>
        </w:pict>
      </w:r>
      <w:r>
        <w:t>. Для этого используется соотношение:</w:t>
      </w:r>
    </w:p>
    <w:p w:rsidR="00000000" w:rsidRDefault="00616EF5"/>
    <w:p w:rsidR="00000000" w:rsidRDefault="00616EF5">
      <w:pPr>
        <w:ind w:firstLine="698"/>
        <w:jc w:val="center"/>
      </w:pPr>
      <w:r>
        <w:pict>
          <v:shape id="_x0000_i1119" type="#_x0000_t75" style="width:240pt;height:58.2pt">
            <v:imagedata r:id="rId116" o:title=""/>
          </v:shape>
        </w:pict>
      </w:r>
      <w:r>
        <w:t>,</w:t>
      </w:r>
    </w:p>
    <w:p w:rsidR="00000000" w:rsidRDefault="00616EF5"/>
    <w:p w:rsidR="00000000" w:rsidRDefault="00616EF5">
      <w:r>
        <w:t xml:space="preserve">Характерный размер шероховатости </w:t>
      </w:r>
      <w:r>
        <w:pict>
          <v:shape id="_x0000_i1120" type="#_x0000_t75" style="width:24pt;height:21pt">
            <v:imagedata r:id="rId117" o:title=""/>
          </v:shape>
        </w:pict>
      </w:r>
      <w:r>
        <w:t xml:space="preserve"> оценивается по </w:t>
      </w:r>
      <w:hyperlink w:anchor="sub_17300" w:history="1">
        <w:r>
          <w:rPr>
            <w:rStyle w:val="a4"/>
          </w:rPr>
          <w:t>таблице N 3</w:t>
        </w:r>
      </w:hyperlink>
      <w:r>
        <w:t>.</w:t>
      </w:r>
    </w:p>
    <w:p w:rsidR="00000000" w:rsidRDefault="00616EF5"/>
    <w:p w:rsidR="00000000" w:rsidRDefault="00616EF5">
      <w:pPr>
        <w:ind w:firstLine="698"/>
        <w:jc w:val="right"/>
      </w:pPr>
      <w:bookmarkStart w:id="244" w:name="sub_17300"/>
      <w:r>
        <w:rPr>
          <w:rStyle w:val="a3"/>
        </w:rPr>
        <w:t>Таблица N 3</w:t>
      </w:r>
    </w:p>
    <w:bookmarkEnd w:id="244"/>
    <w:p w:rsidR="00000000" w:rsidRDefault="00616EF5"/>
    <w:p w:rsidR="00000000" w:rsidRDefault="00616EF5">
      <w:pPr>
        <w:pStyle w:val="1"/>
      </w:pPr>
      <w:r>
        <w:t>Характерн</w:t>
      </w:r>
      <w:r>
        <w:t xml:space="preserve">ый размер шероховатости поверхности </w:t>
      </w:r>
      <w:r>
        <w:pict>
          <v:shape id="_x0000_i1121" type="#_x0000_t75" style="width:21pt;height:17.4pt">
            <v:imagedata r:id="rId118" o:title=""/>
          </v:shape>
        </w:pict>
      </w:r>
      <w:r>
        <w:t xml:space="preserve"> в зависимости от типа местности, где происходит рассеяние</w:t>
      </w:r>
    </w:p>
    <w:p w:rsidR="00000000" w:rsidRDefault="00616E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5"/>
        <w:gridCol w:w="3070"/>
        <w:gridCol w:w="2215"/>
        <w:gridCol w:w="2210"/>
        <w:gridCol w:w="60"/>
        <w:gridCol w:w="16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26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 xml:space="preserve">Характерный размер шероховатости поверхности </w:t>
            </w:r>
            <w:r>
              <w:pict>
                <v:shape id="_x0000_i1122" type="#_x0000_t75" style="width:21pt;height:17.4pt">
                  <v:imagedata r:id="rId119" o:title=""/>
                </v:shape>
              </w:pict>
            </w:r>
            <w:r>
              <w:t>, м</w:t>
            </w:r>
          </w:p>
        </w:tc>
        <w:tc>
          <w:tcPr>
            <w:tcW w:w="7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Местность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Природный ландшафт</w:t>
            </w:r>
          </w:p>
        </w:tc>
        <w:tc>
          <w:tcPr>
            <w:tcW w:w="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Антропогенный ландшафт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pict>
                <v:shape id="_x0000_i1123" type="#_x0000_t75" style="width:50.4pt;height:21pt">
                  <v:imagedata r:id="rId120" o:title=""/>
                </v:shape>
              </w:pic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9"/>
            </w:pPr>
            <w:r>
              <w:t>Лед, равнина, покрытая грязью</w:t>
            </w:r>
          </w:p>
        </w:tc>
        <w:tc>
          <w:tcPr>
            <w:tcW w:w="44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pict>
                <v:shape id="_x0000_i1124" type="#_x0000_t75" style="width:50.4pt;height:21pt">
                  <v:imagedata r:id="rId121" o:title=""/>
                </v:shape>
              </w:pic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9"/>
            </w:pPr>
            <w:r>
              <w:t>Равнины, покрытые снегом или укатанный грунт</w:t>
            </w:r>
          </w:p>
        </w:tc>
        <w:tc>
          <w:tcPr>
            <w:tcW w:w="4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pict>
                <v:shape id="_x0000_i1125" type="#_x0000_t75" style="width:50.4pt;height:21pt">
                  <v:imagedata r:id="rId122" o:title=""/>
                </v:shape>
              </w:pic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9"/>
            </w:pPr>
            <w:r>
              <w:t>Поверхность открытого моря при штиле</w:t>
            </w:r>
          </w:p>
        </w:tc>
        <w:tc>
          <w:tcPr>
            <w:tcW w:w="4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pict>
                <v:shape id="_x0000_i1126" type="#_x0000_t75" style="width:50.4pt;height:21pt">
                  <v:imagedata r:id="rId123" o:title=""/>
                </v:shape>
              </w:pict>
            </w:r>
            <w:r>
              <w:t xml:space="preserve"> - </w:t>
            </w:r>
            <w:r>
              <w:pict>
                <v:shape id="_x0000_i1127" type="#_x0000_t75" style="width:50.4pt;height:21pt">
                  <v:imagedata r:id="rId124" o:title=""/>
                </v:shape>
              </w:pic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9"/>
            </w:pPr>
            <w:r>
              <w:t>Обширные водные поверхности</w:t>
            </w:r>
          </w:p>
        </w:tc>
        <w:tc>
          <w:tcPr>
            <w:tcW w:w="4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pict>
                <v:shape id="_x0000_i1128" type="#_x0000_t75" style="width:50.4pt;height:21pt">
                  <v:imagedata r:id="rId125" o:title=""/>
                </v:shape>
              </w:pic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9"/>
            </w:pPr>
            <w:r>
              <w:t>Ровная поверхность пустыни</w:t>
            </w:r>
          </w:p>
        </w:tc>
        <w:tc>
          <w:tcPr>
            <w:tcW w:w="4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pict>
                <v:shape id="_x0000_i1129" type="#_x0000_t75" style="width:50.4pt;height:21pt">
                  <v:imagedata r:id="rId126" o:title=""/>
                </v:shape>
              </w:pic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9"/>
            </w:pPr>
            <w:r>
              <w:t>Поверхность моря в прибрежной зоне при ветре с моря</w:t>
            </w:r>
          </w:p>
        </w:tc>
        <w:tc>
          <w:tcPr>
            <w:tcW w:w="4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pict>
                <v:shape id="_x0000_i1130" type="#_x0000_t75" style="width:50.4pt;height:21pt">
                  <v:imagedata r:id="rId127" o:title=""/>
                </v:shape>
              </w:pic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9"/>
            </w:pPr>
            <w:r>
              <w:t>Снежная целина (с/х угодья)</w:t>
            </w:r>
          </w:p>
        </w:tc>
        <w:tc>
          <w:tcPr>
            <w:tcW w:w="4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pict>
                <v:shape id="_x0000_i1131" type="#_x0000_t75" style="width:50.4pt;height:21pt">
                  <v:imagedata r:id="rId128" o:title=""/>
                </v:shape>
              </w:pic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9"/>
            </w:pPr>
            <w:r>
              <w:t>Равнинная местность: скошенная трава (</w:t>
            </w:r>
            <w:r>
              <w:pict>
                <v:shape id="_x0000_i1132" type="#_x0000_t75" style="width:22.2pt;height:15pt">
                  <v:imagedata r:id="rId129" o:title=""/>
                </v:shape>
              </w:pict>
            </w:r>
            <w:r>
              <w:t xml:space="preserve"> см)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9"/>
            </w:pPr>
            <w:r>
              <w:t>Равнинная местность, с/х угодья</w:t>
            </w:r>
          </w:p>
        </w:tc>
        <w:tc>
          <w:tcPr>
            <w:tcW w:w="22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pict>
                <v:shape id="_x0000_i1133" type="#_x0000_t75" style="width:50.4pt;height:21pt">
                  <v:imagedata r:id="rId130" o:title=""/>
                </v:shape>
              </w:pic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9"/>
            </w:pPr>
            <w:r>
              <w:t>Равнинная местность: трава редкие деревья (зима, без листьев)</w:t>
            </w: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</w:pPr>
          </w:p>
        </w:tc>
        <w:tc>
          <w:tcPr>
            <w:tcW w:w="2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pict>
                <v:shape id="_x0000_i1134" type="#_x0000_t75" style="width:50.4pt;height:21pt">
                  <v:imagedata r:id="rId131" o:title=""/>
                </v:shape>
              </w:pic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9"/>
            </w:pPr>
            <w:r>
              <w:t>Равнинная местность: некошеная трава</w:t>
            </w: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</w:pPr>
          </w:p>
        </w:tc>
        <w:tc>
          <w:tcPr>
            <w:tcW w:w="2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pict>
                <v:shape id="_x0000_i1135" type="#_x0000_t75" style="width:50.4pt;height:21pt">
                  <v:imagedata r:id="rId132" o:title=""/>
                </v:shape>
              </w:pic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9"/>
            </w:pPr>
            <w:r>
              <w:t>Равнинная местность: одиночные деревья</w:t>
            </w: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</w:pPr>
          </w:p>
        </w:tc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9"/>
            </w:pPr>
            <w:r>
              <w:t>Аэропорт - летное поле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pict>
                <v:shape id="_x0000_i1136" type="#_x0000_t75" style="width:50.4pt;height:21pt">
                  <v:imagedata r:id="rId133" o:title=""/>
                </v:shape>
              </w:pic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9"/>
            </w:pPr>
            <w:r>
              <w:t>Равнинная местность: высокая трава (60 см)</w:t>
            </w: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</w:pPr>
          </w:p>
        </w:tc>
        <w:tc>
          <w:tcPr>
            <w:tcW w:w="22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9"/>
            </w:pPr>
            <w:r>
              <w:t>С/х угодья: неубранные посевы зерновых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pict>
                <v:shape id="_x0000_i1137" type="#_x0000_t75" style="width:50.4pt;height:21pt">
                  <v:imagedata r:id="rId134" o:title=""/>
                </v:shape>
              </w:pic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9"/>
            </w:pPr>
            <w:r>
              <w:t>Равнинная местность: редкие деревья (лето)</w:t>
            </w: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</w:pPr>
          </w:p>
        </w:tc>
        <w:tc>
          <w:tcPr>
            <w:tcW w:w="2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pict>
                <v:shape id="_x0000_i1138" type="#_x0000_t75" style="width:50.4pt;height:21pt">
                  <v:imagedata r:id="rId135" o:title=""/>
                </v:shape>
              </w:pic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9"/>
            </w:pPr>
            <w:r>
              <w:t>Холмистая местность</w:t>
            </w: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</w:pPr>
          </w:p>
        </w:tc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0,15 - 0,30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9"/>
            </w:pPr>
            <w:r>
              <w:t>Деревья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9"/>
            </w:pPr>
            <w:r>
              <w:t>Большое количество заборов, изгородей, редкие здания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0,40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9"/>
            </w:pPr>
            <w:r>
              <w:t>Лесистая местность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9"/>
            </w:pPr>
            <w:r>
              <w:t>Окраины города</w:t>
            </w:r>
            <w:hyperlink w:anchor="sub_1800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0,55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9"/>
            </w:pPr>
            <w:r>
              <w:t>Центры малых городов</w:t>
            </w:r>
            <w:hyperlink w:anchor="sub_1800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9"/>
            </w:pPr>
            <w:r>
              <w:t>Территория промышленных предприятий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0,65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</w:pP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9"/>
            </w:pPr>
            <w:r>
              <w:t>Центры больших поселений и городов</w:t>
            </w:r>
            <w:hyperlink w:anchor="sub_1800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2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9"/>
            </w:pPr>
            <w:r>
              <w:t>Территория промышленных предприятий при наличии высоких (более 15 метров) сооружений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0,90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9"/>
            </w:pPr>
            <w:r>
              <w:t>Леса</w:t>
            </w: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</w:pPr>
          </w:p>
        </w:tc>
        <w:tc>
          <w:tcPr>
            <w:tcW w:w="2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1,30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</w:pPr>
          </w:p>
        </w:tc>
        <w:tc>
          <w:tcPr>
            <w:tcW w:w="2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6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1,35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</w:pP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9"/>
            </w:pPr>
            <w:r>
              <w:t>Центры больших городов, районы с высотными зданиями</w:t>
            </w:r>
            <w:hyperlink w:anchor="sub_1800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2,00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9"/>
            </w:pPr>
            <w:r>
              <w:t>Крайне холмистая и гористая местность</w:t>
            </w:r>
            <w:hyperlink w:anchor="sub_1800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  <w:jc w:val="center"/>
            </w:pPr>
            <w:r>
              <w:t>3,00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EF5">
            <w:pPr>
              <w:pStyle w:val="a7"/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6EF5">
            <w:pPr>
              <w:pStyle w:val="a7"/>
            </w:pPr>
          </w:p>
        </w:tc>
      </w:tr>
    </w:tbl>
    <w:p w:rsidR="00000000" w:rsidRDefault="00616EF5"/>
    <w:p w:rsidR="00000000" w:rsidRDefault="00616EF5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616EF5">
      <w:pPr>
        <w:pStyle w:val="aa"/>
      </w:pPr>
      <w:bookmarkStart w:id="245" w:name="sub_18001"/>
      <w:r>
        <w:t>* Неоднородный рельеф местности</w:t>
      </w:r>
    </w:p>
    <w:bookmarkEnd w:id="245"/>
    <w:p w:rsidR="00000000" w:rsidRDefault="00616EF5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</w:t>
      </w:r>
      <w:r>
        <w:rPr>
          <w:sz w:val="22"/>
          <w:szCs w:val="22"/>
        </w:rPr>
        <w:t>──────────────────</w:t>
      </w:r>
    </w:p>
    <w:p w:rsidR="00000000" w:rsidRDefault="00616EF5"/>
    <w:p w:rsidR="00000000" w:rsidRDefault="00616EF5">
      <w:r>
        <w:t>В заданной точке интенсивность теплового потока в расчетной точке складывается из потоков от солнца и от горящего факела:</w:t>
      </w:r>
    </w:p>
    <w:p w:rsidR="00000000" w:rsidRDefault="00616EF5"/>
    <w:p w:rsidR="00000000" w:rsidRDefault="00616EF5">
      <w:pPr>
        <w:ind w:firstLine="698"/>
        <w:jc w:val="center"/>
      </w:pPr>
      <w:r>
        <w:pict>
          <v:shape id="_x0000_i1139" type="#_x0000_t75" style="width:80.4pt;height:21pt">
            <v:imagedata r:id="rId136" o:title=""/>
          </v:shape>
        </w:pict>
      </w:r>
      <w:r>
        <w:t>.</w:t>
      </w:r>
    </w:p>
    <w:p w:rsidR="00000000" w:rsidRDefault="00616EF5"/>
    <w:p w:rsidR="00000000" w:rsidRDefault="00616EF5">
      <w:r>
        <w:t xml:space="preserve">При этом предельно допустимая интенсивность теплового потока от факела </w:t>
      </w:r>
      <w:r>
        <w:pict>
          <v:shape id="_x0000_i1140" type="#_x0000_t75" style="width:33.6pt;height:21pt">
            <v:imagedata r:id="rId137" o:title=""/>
          </v:shape>
        </w:pict>
      </w:r>
      <w:r>
        <w:t xml:space="preserve"> должна определяться с учетом максимальной величины солнечной радиации</w:t>
      </w:r>
    </w:p>
    <w:p w:rsidR="00000000" w:rsidRDefault="00616EF5"/>
    <w:p w:rsidR="00000000" w:rsidRDefault="00616EF5">
      <w:pPr>
        <w:ind w:firstLine="698"/>
        <w:jc w:val="center"/>
      </w:pPr>
      <w:r>
        <w:pict>
          <v:shape id="_x0000_i1141" type="#_x0000_t75" style="width:88.2pt;height:21pt">
            <v:imagedata r:id="rId138" o:title=""/>
          </v:shape>
        </w:pict>
      </w:r>
      <w:r>
        <w:t>.</w:t>
      </w:r>
    </w:p>
    <w:p w:rsidR="00000000" w:rsidRDefault="00616EF5"/>
    <w:p w:rsidR="00000000" w:rsidRDefault="00616EF5">
      <w:r>
        <w:t xml:space="preserve">Значения </w:t>
      </w:r>
      <w:r>
        <w:pict>
          <v:shape id="_x0000_i1142" type="#_x0000_t75" style="width:31.8pt;height:21pt">
            <v:imagedata r:id="rId139" o:title=""/>
          </v:shape>
        </w:pict>
      </w:r>
      <w:r>
        <w:t xml:space="preserve"> рекомендуется принимать:</w:t>
      </w:r>
    </w:p>
    <w:p w:rsidR="00000000" w:rsidRDefault="00616EF5">
      <w:r>
        <w:t xml:space="preserve">у основания факельного ствола - 9,4 </w:t>
      </w:r>
      <w:r>
        <w:pict>
          <v:shape id="_x0000_i1143" type="#_x0000_t75" style="width:46.8pt;height:22.8pt">
            <v:imagedata r:id="rId140" o:title=""/>
          </v:shape>
        </w:pict>
      </w:r>
      <w:r>
        <w:t xml:space="preserve"> (персонал входит и работает в зоне ограждения факельной установки только п</w:t>
      </w:r>
      <w:r>
        <w:t>ри условии применения специальных костюмов защиты от повышенного теплового излучения);</w:t>
      </w:r>
    </w:p>
    <w:p w:rsidR="00000000" w:rsidRDefault="00616EF5">
      <w:r>
        <w:t xml:space="preserve">при условии эвакуации персонала в течение 30 сек. - 4,8 </w:t>
      </w:r>
      <w:r>
        <w:pict>
          <v:shape id="_x0000_i1144" type="#_x0000_t75" style="width:46.8pt;height:22.8pt">
            <v:imagedata r:id="rId141" o:title=""/>
          </v:shape>
        </w:pict>
      </w:r>
      <w:r>
        <w:t>;</w:t>
      </w:r>
    </w:p>
    <w:p w:rsidR="00000000" w:rsidRDefault="00616EF5">
      <w:r>
        <w:t xml:space="preserve">на границе ограждения факельной установки - 2,8 </w:t>
      </w:r>
      <w:r>
        <w:pict>
          <v:shape id="_x0000_i1145" type="#_x0000_t75" style="width:46.8pt;height:22.8pt">
            <v:imagedata r:id="rId140" o:title=""/>
          </v:shape>
        </w:pict>
      </w:r>
      <w:r>
        <w:t xml:space="preserve"> (при условии эвакуации персонала в соответствующей одежде в течение 30 сек.);</w:t>
      </w:r>
    </w:p>
    <w:p w:rsidR="00000000" w:rsidRDefault="00616EF5">
      <w:r>
        <w:t xml:space="preserve">неограниченное время пребывания персонала независимо от типа применяемой одежды - 1,4 </w:t>
      </w:r>
      <w:r>
        <w:pict>
          <v:shape id="_x0000_i1146" type="#_x0000_t75" style="width:46.8pt;height:22.8pt">
            <v:imagedata r:id="rId141" o:title=""/>
          </v:shape>
        </w:pict>
      </w:r>
      <w:r>
        <w:t>.</w:t>
      </w:r>
    </w:p>
    <w:p w:rsidR="00000000" w:rsidRDefault="00616EF5">
      <w:r>
        <w:t>При этом, в случае размещения в единой констр</w:t>
      </w:r>
      <w:r>
        <w:t>укции нескольких факельных стволов, рекомендуется учитывать их взаимное влияние на плотность теплового потока.</w:t>
      </w:r>
    </w:p>
    <w:p w:rsidR="00000000" w:rsidRDefault="00616EF5">
      <w:r>
        <w:t>При соответствующем обосновании в проектной документации (документации на техническое перевооружение), например, при размещении факельной установ</w:t>
      </w:r>
      <w:r>
        <w:t xml:space="preserve">ки в стесненных условиях или при большой массе возможных аварийных сбросов, допускается увеличение плотности теплового потока на границе ограждения факельной установки до 4,73 </w:t>
      </w:r>
      <w:r>
        <w:pict>
          <v:shape id="_x0000_i1147" type="#_x0000_t75" style="width:46.8pt;height:22.8pt">
            <v:imagedata r:id="rId140" o:title=""/>
          </v:shape>
        </w:pict>
      </w:r>
      <w:r>
        <w:t xml:space="preserve"> при условии обеспечения персонала специальной одеждой (с учетом минимальных рекомендаций, приведенных в приложении N 1) и его эвакуации в безопасную зону за рекомендуемое время, не превышающее 2-3 мин. При этом не рекомендуется превышение плотности теплов</w:t>
      </w:r>
      <w:r>
        <w:t xml:space="preserve">ого потока на рабочих местах с постоянным присутствием персонала в специальной одежде выше 1,58 </w:t>
      </w:r>
      <w:r>
        <w:pict>
          <v:shape id="_x0000_i1148" type="#_x0000_t75" style="width:46.8pt;height:22.8pt">
            <v:imagedata r:id="rId141" o:title=""/>
          </v:shape>
        </w:pict>
      </w:r>
      <w:r>
        <w:t>, а в местах временного пребывания персонала рекомендуется разрабатывать специальные меры (технические и (или) организационны</w:t>
      </w:r>
      <w:r>
        <w:t>е) по его защите от теплового излучения.</w:t>
      </w:r>
    </w:p>
    <w:p w:rsidR="00000000" w:rsidRDefault="00616EF5">
      <w:r>
        <w:t>Расчетный вариант сброса определяется по максимальной интенсивности теплового потока.</w:t>
      </w:r>
    </w:p>
    <w:p w:rsidR="00000000" w:rsidRDefault="00616EF5"/>
    <w:p w:rsidR="00000000" w:rsidRDefault="00616EF5">
      <w:pPr>
        <w:pStyle w:val="1"/>
      </w:pPr>
      <w:bookmarkStart w:id="246" w:name="sub_17004"/>
      <w:r>
        <w:t>Расчет интенсивности теплового потока от пламени, минимального расстояния до объекта и высоты факельного ствола</w:t>
      </w:r>
    </w:p>
    <w:bookmarkEnd w:id="246"/>
    <w:p w:rsidR="00000000" w:rsidRDefault="00616EF5"/>
    <w:p w:rsidR="00000000" w:rsidRDefault="00616EF5">
      <w:r>
        <w:t xml:space="preserve">Интенсивность теплового потока </w:t>
      </w:r>
      <w:r>
        <w:pict>
          <v:shape id="_x0000_i1149" type="#_x0000_t75" style="width:17.4pt;height:21pt">
            <v:imagedata r:id="rId142" o:title=""/>
          </v:shape>
        </w:pict>
      </w:r>
      <w:r>
        <w:t xml:space="preserve"> от факельного пламени в заданной точке (на объекте) проверяют при выбранной высоте факельного ствола H и заданном расстоянии от факельного ствола х. Минимальное расстояние </w:t>
      </w:r>
      <w:r>
        <w:pict>
          <v:shape id="_x0000_i1150" type="#_x0000_t75" style="width:26.4pt;height:21pt">
            <v:imagedata r:id="rId143" o:title=""/>
          </v:shape>
        </w:pict>
      </w:r>
      <w:r>
        <w:t xml:space="preserve"> (по горизонтали) между факельным стволом и заданной точкой (объектом) определяют при выбранной высоте факельного ствола. Высоту факельного ствола определяют при заданном расстоянии между факельным стволом и объектом. Эти величины вычи</w:t>
      </w:r>
      <w:r>
        <w:t>сляются в зависимости от числа Маха М.</w:t>
      </w:r>
    </w:p>
    <w:p w:rsidR="00000000" w:rsidRDefault="00616EF5">
      <w:r>
        <w:t>При М &lt; 0,2:</w:t>
      </w:r>
    </w:p>
    <w:p w:rsidR="00000000" w:rsidRDefault="00616EF5"/>
    <w:p w:rsidR="00000000" w:rsidRDefault="00616EF5">
      <w:pPr>
        <w:ind w:firstLine="698"/>
        <w:jc w:val="center"/>
      </w:pPr>
      <w:r>
        <w:pict>
          <v:shape id="_x0000_i1151" type="#_x0000_t75" style="width:241.2pt;height:54.6pt">
            <v:imagedata r:id="rId144" o:title=""/>
          </v:shape>
        </w:pict>
      </w:r>
    </w:p>
    <w:p w:rsidR="00000000" w:rsidRDefault="00616EF5"/>
    <w:p w:rsidR="00000000" w:rsidRDefault="00616EF5">
      <w:pPr>
        <w:ind w:firstLine="698"/>
        <w:jc w:val="center"/>
      </w:pPr>
      <w:r>
        <w:pict>
          <v:shape id="_x0000_i1152" type="#_x0000_t75" style="width:269.4pt;height:50.4pt">
            <v:imagedata r:id="rId145" o:title=""/>
          </v:shape>
        </w:pict>
      </w:r>
    </w:p>
    <w:p w:rsidR="00000000" w:rsidRDefault="00616EF5"/>
    <w:p w:rsidR="00000000" w:rsidRDefault="00616EF5">
      <w:pPr>
        <w:ind w:firstLine="698"/>
        <w:jc w:val="center"/>
      </w:pPr>
      <w:r>
        <w:pict>
          <v:shape id="_x0000_i1153" type="#_x0000_t75" style="width:265.8pt;height:50.4pt">
            <v:imagedata r:id="rId146" o:title=""/>
          </v:shape>
        </w:pict>
      </w:r>
    </w:p>
    <w:p w:rsidR="00000000" w:rsidRDefault="00616EF5"/>
    <w:p w:rsidR="00000000" w:rsidRDefault="00616EF5">
      <w:r>
        <w:t xml:space="preserve">При </w:t>
      </w:r>
      <w:r>
        <w:pict>
          <v:shape id="_x0000_i1154" type="#_x0000_t75" style="width:44.4pt;height:18.6pt">
            <v:imagedata r:id="rId147" o:title=""/>
          </v:shape>
        </w:pict>
      </w:r>
      <w:r>
        <w:t>:</w:t>
      </w:r>
    </w:p>
    <w:p w:rsidR="00000000" w:rsidRDefault="00616EF5"/>
    <w:p w:rsidR="00000000" w:rsidRDefault="00616EF5">
      <w:pPr>
        <w:ind w:firstLine="698"/>
        <w:jc w:val="center"/>
      </w:pPr>
      <w:r>
        <w:pict>
          <v:shape id="_x0000_i1155" type="#_x0000_t75" style="width:159.6pt;height:52.8pt">
            <v:imagedata r:id="rId148" o:title=""/>
          </v:shape>
        </w:pict>
      </w:r>
    </w:p>
    <w:p w:rsidR="00000000" w:rsidRDefault="00616EF5"/>
    <w:p w:rsidR="00000000" w:rsidRDefault="00616EF5">
      <w:pPr>
        <w:ind w:firstLine="698"/>
        <w:jc w:val="center"/>
      </w:pPr>
      <w:r>
        <w:pict>
          <v:shape id="_x0000_i1156" type="#_x0000_t75" style="width:197.4pt;height:50.4pt">
            <v:imagedata r:id="rId149" o:title=""/>
          </v:shape>
        </w:pict>
      </w:r>
    </w:p>
    <w:p w:rsidR="00000000" w:rsidRDefault="00616EF5"/>
    <w:p w:rsidR="00000000" w:rsidRDefault="00616EF5">
      <w:pPr>
        <w:ind w:firstLine="698"/>
        <w:jc w:val="center"/>
      </w:pPr>
      <w:r>
        <w:pict>
          <v:shape id="_x0000_i1157" type="#_x0000_t75" style="width:186pt;height:50.4pt">
            <v:imagedata r:id="rId150" o:title=""/>
          </v:shape>
        </w:pict>
      </w:r>
      <w:r>
        <w:t>.</w:t>
      </w:r>
    </w:p>
    <w:p w:rsidR="00000000" w:rsidRDefault="00616EF5"/>
    <w:p w:rsidR="00000000" w:rsidRDefault="00616EF5">
      <w:pPr>
        <w:ind w:firstLine="698"/>
        <w:jc w:val="right"/>
      </w:pPr>
      <w:bookmarkStart w:id="247" w:name="sub_18000"/>
      <w:r>
        <w:rPr>
          <w:rStyle w:val="a3"/>
        </w:rPr>
        <w:t>Приложение N 8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Руководству</w:t>
        </w:r>
      </w:hyperlink>
      <w:r>
        <w:rPr>
          <w:rStyle w:val="a3"/>
        </w:rPr>
        <w:t xml:space="preserve"> по безопасности</w:t>
      </w:r>
      <w:r>
        <w:rPr>
          <w:rStyle w:val="a3"/>
        </w:rPr>
        <w:br/>
        <w:t>факельных систем, утвержденному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Федеральной службы</w:t>
      </w:r>
      <w:r>
        <w:rPr>
          <w:rStyle w:val="a3"/>
        </w:rPr>
        <w:br/>
        <w:t>по экологическому, технологическому</w:t>
      </w:r>
      <w:r>
        <w:rPr>
          <w:rStyle w:val="a3"/>
        </w:rPr>
        <w:br/>
        <w:t>и атомному надзору</w:t>
      </w:r>
      <w:r>
        <w:rPr>
          <w:rStyle w:val="a3"/>
        </w:rPr>
        <w:br/>
      </w:r>
      <w:r>
        <w:rPr>
          <w:rStyle w:val="a3"/>
        </w:rPr>
        <w:t>от 22 декабря 2021 г. N 450</w:t>
      </w:r>
    </w:p>
    <w:bookmarkEnd w:id="247"/>
    <w:p w:rsidR="00000000" w:rsidRDefault="00616EF5"/>
    <w:p w:rsidR="00000000" w:rsidRDefault="00616EF5">
      <w:pPr>
        <w:pStyle w:val="1"/>
      </w:pPr>
      <w:r>
        <w:t xml:space="preserve">Рекомендуемая схема </w:t>
      </w:r>
      <w:r>
        <w:br/>
        <w:t>сброса газов и паров при использовании многогорелочных (многостадийных) факельных систем</w:t>
      </w:r>
    </w:p>
    <w:p w:rsidR="00000000" w:rsidRDefault="00616EF5"/>
    <w:p w:rsidR="00000000" w:rsidRDefault="00616EF5">
      <w:pPr>
        <w:pStyle w:val="a9"/>
      </w:pPr>
      <w:r>
        <w:pict>
          <v:shape id="_x0000_i1158" type="#_x0000_t75" style="width:470.4pt;height:433.8pt">
            <v:imagedata r:id="rId151" o:title=""/>
          </v:shape>
        </w:pict>
      </w:r>
    </w:p>
    <w:p w:rsidR="00000000" w:rsidRDefault="00616EF5"/>
    <w:sectPr w:rsidR="00000000">
      <w:headerReference w:type="default" r:id="rId152"/>
      <w:footerReference w:type="default" r:id="rId15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16EF5">
      <w:r>
        <w:separator/>
      </w:r>
    </w:p>
  </w:endnote>
  <w:endnote w:type="continuationSeparator" w:id="0">
    <w:p w:rsidR="00000000" w:rsidRDefault="0061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616EF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24.12.2024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16EF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16EF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16EF5">
      <w:r>
        <w:separator/>
      </w:r>
    </w:p>
  </w:footnote>
  <w:footnote w:type="continuationSeparator" w:id="0">
    <w:p w:rsidR="00000000" w:rsidRDefault="00616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16EF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Федеральной службы по экологическому, технологическому и атомному надзору от 22 декабря 2021 г. N…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EF5"/>
    <w:rsid w:val="0061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6.emf"/><Relationship Id="rId21" Type="http://schemas.openxmlformats.org/officeDocument/2006/relationships/image" Target="media/image4.emf"/><Relationship Id="rId42" Type="http://schemas.openxmlformats.org/officeDocument/2006/relationships/image" Target="media/image23.emf"/><Relationship Id="rId63" Type="http://schemas.openxmlformats.org/officeDocument/2006/relationships/image" Target="media/image44.emf"/><Relationship Id="rId84" Type="http://schemas.openxmlformats.org/officeDocument/2006/relationships/image" Target="media/image63.emf"/><Relationship Id="rId138" Type="http://schemas.openxmlformats.org/officeDocument/2006/relationships/image" Target="media/image117.emf"/><Relationship Id="rId107" Type="http://schemas.openxmlformats.org/officeDocument/2006/relationships/image" Target="media/image86.emf"/><Relationship Id="rId11" Type="http://schemas.openxmlformats.org/officeDocument/2006/relationships/hyperlink" Target="https://internet.garant.ru/document/redirect/400128950/0" TargetMode="External"/><Relationship Id="rId32" Type="http://schemas.openxmlformats.org/officeDocument/2006/relationships/image" Target="media/image13.emf"/><Relationship Id="rId53" Type="http://schemas.openxmlformats.org/officeDocument/2006/relationships/image" Target="media/image34.emf"/><Relationship Id="rId74" Type="http://schemas.openxmlformats.org/officeDocument/2006/relationships/hyperlink" Target="https://internet.garant.ru/document/redirect/6739433/0" TargetMode="External"/><Relationship Id="rId128" Type="http://schemas.openxmlformats.org/officeDocument/2006/relationships/image" Target="media/image107.emf"/><Relationship Id="rId149" Type="http://schemas.openxmlformats.org/officeDocument/2006/relationships/image" Target="media/image128.emf"/><Relationship Id="rId5" Type="http://schemas.openxmlformats.org/officeDocument/2006/relationships/footnotes" Target="footnotes.xml"/><Relationship Id="rId95" Type="http://schemas.openxmlformats.org/officeDocument/2006/relationships/image" Target="media/image74.emf"/><Relationship Id="rId22" Type="http://schemas.openxmlformats.org/officeDocument/2006/relationships/image" Target="media/image5.emf"/><Relationship Id="rId27" Type="http://schemas.openxmlformats.org/officeDocument/2006/relationships/image" Target="media/image8.png"/><Relationship Id="rId43" Type="http://schemas.openxmlformats.org/officeDocument/2006/relationships/image" Target="media/image24.emf"/><Relationship Id="rId48" Type="http://schemas.openxmlformats.org/officeDocument/2006/relationships/image" Target="media/image29.emf"/><Relationship Id="rId64" Type="http://schemas.openxmlformats.org/officeDocument/2006/relationships/image" Target="media/image45.emf"/><Relationship Id="rId69" Type="http://schemas.openxmlformats.org/officeDocument/2006/relationships/image" Target="media/image50.emf"/><Relationship Id="rId113" Type="http://schemas.openxmlformats.org/officeDocument/2006/relationships/image" Target="media/image92.emf"/><Relationship Id="rId118" Type="http://schemas.openxmlformats.org/officeDocument/2006/relationships/image" Target="media/image97.emf"/><Relationship Id="rId134" Type="http://schemas.openxmlformats.org/officeDocument/2006/relationships/image" Target="media/image113.emf"/><Relationship Id="rId139" Type="http://schemas.openxmlformats.org/officeDocument/2006/relationships/image" Target="media/image118.emf"/><Relationship Id="rId80" Type="http://schemas.openxmlformats.org/officeDocument/2006/relationships/image" Target="media/image59.emf"/><Relationship Id="rId85" Type="http://schemas.openxmlformats.org/officeDocument/2006/relationships/image" Target="media/image64.emf"/><Relationship Id="rId150" Type="http://schemas.openxmlformats.org/officeDocument/2006/relationships/image" Target="media/image129.emf"/><Relationship Id="rId155" Type="http://schemas.openxmlformats.org/officeDocument/2006/relationships/theme" Target="theme/theme1.xml"/><Relationship Id="rId12" Type="http://schemas.openxmlformats.org/officeDocument/2006/relationships/hyperlink" Target="https://internet.garant.ru/document/redirect/75095841/1000" TargetMode="External"/><Relationship Id="rId17" Type="http://schemas.openxmlformats.org/officeDocument/2006/relationships/hyperlink" Target="https://internet.garant.ru/document/redirect/400113556/0" TargetMode="External"/><Relationship Id="rId33" Type="http://schemas.openxmlformats.org/officeDocument/2006/relationships/image" Target="media/image14.emf"/><Relationship Id="rId38" Type="http://schemas.openxmlformats.org/officeDocument/2006/relationships/image" Target="media/image19.emf"/><Relationship Id="rId59" Type="http://schemas.openxmlformats.org/officeDocument/2006/relationships/image" Target="media/image40.emf"/><Relationship Id="rId103" Type="http://schemas.openxmlformats.org/officeDocument/2006/relationships/image" Target="media/image82.emf"/><Relationship Id="rId108" Type="http://schemas.openxmlformats.org/officeDocument/2006/relationships/image" Target="media/image87.emf"/><Relationship Id="rId124" Type="http://schemas.openxmlformats.org/officeDocument/2006/relationships/image" Target="media/image103.emf"/><Relationship Id="rId129" Type="http://schemas.openxmlformats.org/officeDocument/2006/relationships/image" Target="media/image108.emf"/><Relationship Id="rId54" Type="http://schemas.openxmlformats.org/officeDocument/2006/relationships/image" Target="media/image35.emf"/><Relationship Id="rId70" Type="http://schemas.openxmlformats.org/officeDocument/2006/relationships/image" Target="media/image51.emf"/><Relationship Id="rId75" Type="http://schemas.openxmlformats.org/officeDocument/2006/relationships/image" Target="media/image54.emf"/><Relationship Id="rId91" Type="http://schemas.openxmlformats.org/officeDocument/2006/relationships/image" Target="media/image70.emf"/><Relationship Id="rId96" Type="http://schemas.openxmlformats.org/officeDocument/2006/relationships/image" Target="media/image75.emf"/><Relationship Id="rId140" Type="http://schemas.openxmlformats.org/officeDocument/2006/relationships/image" Target="media/image119.emf"/><Relationship Id="rId145" Type="http://schemas.openxmlformats.org/officeDocument/2006/relationships/image" Target="media/image12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6.emf"/><Relationship Id="rId28" Type="http://schemas.openxmlformats.org/officeDocument/2006/relationships/image" Target="media/image9.png"/><Relationship Id="rId49" Type="http://schemas.openxmlformats.org/officeDocument/2006/relationships/image" Target="media/image30.emf"/><Relationship Id="rId114" Type="http://schemas.openxmlformats.org/officeDocument/2006/relationships/image" Target="media/image93.emf"/><Relationship Id="rId119" Type="http://schemas.openxmlformats.org/officeDocument/2006/relationships/image" Target="media/image98.emf"/><Relationship Id="rId44" Type="http://schemas.openxmlformats.org/officeDocument/2006/relationships/image" Target="media/image25.emf"/><Relationship Id="rId60" Type="http://schemas.openxmlformats.org/officeDocument/2006/relationships/image" Target="media/image41.emf"/><Relationship Id="rId65" Type="http://schemas.openxmlformats.org/officeDocument/2006/relationships/image" Target="media/image46.emf"/><Relationship Id="rId81" Type="http://schemas.openxmlformats.org/officeDocument/2006/relationships/image" Target="media/image60.emf"/><Relationship Id="rId86" Type="http://schemas.openxmlformats.org/officeDocument/2006/relationships/image" Target="media/image65.emf"/><Relationship Id="rId130" Type="http://schemas.openxmlformats.org/officeDocument/2006/relationships/image" Target="media/image109.emf"/><Relationship Id="rId135" Type="http://schemas.openxmlformats.org/officeDocument/2006/relationships/image" Target="media/image114.emf"/><Relationship Id="rId151" Type="http://schemas.openxmlformats.org/officeDocument/2006/relationships/image" Target="media/image130.png"/><Relationship Id="rId13" Type="http://schemas.openxmlformats.org/officeDocument/2006/relationships/hyperlink" Target="https://internet.garant.ru/document/redirect/75095841/0" TargetMode="External"/><Relationship Id="rId18" Type="http://schemas.openxmlformats.org/officeDocument/2006/relationships/image" Target="media/image1.emf"/><Relationship Id="rId39" Type="http://schemas.openxmlformats.org/officeDocument/2006/relationships/image" Target="media/image20.emf"/><Relationship Id="rId109" Type="http://schemas.openxmlformats.org/officeDocument/2006/relationships/image" Target="media/image88.emf"/><Relationship Id="rId34" Type="http://schemas.openxmlformats.org/officeDocument/2006/relationships/image" Target="media/image15.emf"/><Relationship Id="rId50" Type="http://schemas.openxmlformats.org/officeDocument/2006/relationships/image" Target="media/image31.emf"/><Relationship Id="rId55" Type="http://schemas.openxmlformats.org/officeDocument/2006/relationships/image" Target="media/image36.emf"/><Relationship Id="rId76" Type="http://schemas.openxmlformats.org/officeDocument/2006/relationships/image" Target="media/image55.emf"/><Relationship Id="rId97" Type="http://schemas.openxmlformats.org/officeDocument/2006/relationships/image" Target="media/image76.emf"/><Relationship Id="rId104" Type="http://schemas.openxmlformats.org/officeDocument/2006/relationships/image" Target="media/image83.emf"/><Relationship Id="rId120" Type="http://schemas.openxmlformats.org/officeDocument/2006/relationships/image" Target="media/image99.emf"/><Relationship Id="rId125" Type="http://schemas.openxmlformats.org/officeDocument/2006/relationships/image" Target="media/image104.emf"/><Relationship Id="rId141" Type="http://schemas.openxmlformats.org/officeDocument/2006/relationships/image" Target="media/image120.emf"/><Relationship Id="rId146" Type="http://schemas.openxmlformats.org/officeDocument/2006/relationships/image" Target="media/image125.emf"/><Relationship Id="rId7" Type="http://schemas.openxmlformats.org/officeDocument/2006/relationships/hyperlink" Target="https://internet.garant.ru/document/redirect/403323906/0" TargetMode="External"/><Relationship Id="rId71" Type="http://schemas.openxmlformats.org/officeDocument/2006/relationships/image" Target="media/image52.emf"/><Relationship Id="rId92" Type="http://schemas.openxmlformats.org/officeDocument/2006/relationships/image" Target="media/image71.emf"/><Relationship Id="rId2" Type="http://schemas.openxmlformats.org/officeDocument/2006/relationships/styles" Target="styles.xml"/><Relationship Id="rId29" Type="http://schemas.openxmlformats.org/officeDocument/2006/relationships/image" Target="media/image10.emf"/><Relationship Id="rId24" Type="http://schemas.openxmlformats.org/officeDocument/2006/relationships/hyperlink" Target="https://internet.garant.ru/document/redirect/3922227/0" TargetMode="External"/><Relationship Id="rId40" Type="http://schemas.openxmlformats.org/officeDocument/2006/relationships/image" Target="media/image21.emf"/><Relationship Id="rId45" Type="http://schemas.openxmlformats.org/officeDocument/2006/relationships/image" Target="media/image26.emf"/><Relationship Id="rId66" Type="http://schemas.openxmlformats.org/officeDocument/2006/relationships/image" Target="media/image47.emf"/><Relationship Id="rId87" Type="http://schemas.openxmlformats.org/officeDocument/2006/relationships/image" Target="media/image66.emf"/><Relationship Id="rId110" Type="http://schemas.openxmlformats.org/officeDocument/2006/relationships/image" Target="media/image89.emf"/><Relationship Id="rId115" Type="http://schemas.openxmlformats.org/officeDocument/2006/relationships/image" Target="media/image94.emf"/><Relationship Id="rId131" Type="http://schemas.openxmlformats.org/officeDocument/2006/relationships/image" Target="media/image110.emf"/><Relationship Id="rId136" Type="http://schemas.openxmlformats.org/officeDocument/2006/relationships/image" Target="media/image115.emf"/><Relationship Id="rId61" Type="http://schemas.openxmlformats.org/officeDocument/2006/relationships/image" Target="media/image42.emf"/><Relationship Id="rId82" Type="http://schemas.openxmlformats.org/officeDocument/2006/relationships/image" Target="media/image61.emf"/><Relationship Id="rId152" Type="http://schemas.openxmlformats.org/officeDocument/2006/relationships/header" Target="header1.xml"/><Relationship Id="rId19" Type="http://schemas.openxmlformats.org/officeDocument/2006/relationships/image" Target="media/image2.emf"/><Relationship Id="rId14" Type="http://schemas.openxmlformats.org/officeDocument/2006/relationships/hyperlink" Target="https://internet.garant.ru/document/redirect/400156750/1000" TargetMode="External"/><Relationship Id="rId30" Type="http://schemas.openxmlformats.org/officeDocument/2006/relationships/image" Target="media/image11.emf"/><Relationship Id="rId35" Type="http://schemas.openxmlformats.org/officeDocument/2006/relationships/image" Target="media/image16.emf"/><Relationship Id="rId56" Type="http://schemas.openxmlformats.org/officeDocument/2006/relationships/image" Target="media/image37.emf"/><Relationship Id="rId77" Type="http://schemas.openxmlformats.org/officeDocument/2006/relationships/image" Target="media/image56.emf"/><Relationship Id="rId100" Type="http://schemas.openxmlformats.org/officeDocument/2006/relationships/image" Target="media/image79.emf"/><Relationship Id="rId105" Type="http://schemas.openxmlformats.org/officeDocument/2006/relationships/image" Target="media/image84.emf"/><Relationship Id="rId126" Type="http://schemas.openxmlformats.org/officeDocument/2006/relationships/image" Target="media/image105.emf"/><Relationship Id="rId147" Type="http://schemas.openxmlformats.org/officeDocument/2006/relationships/image" Target="media/image126.emf"/><Relationship Id="rId8" Type="http://schemas.openxmlformats.org/officeDocument/2006/relationships/hyperlink" Target="https://internet.garant.ru/document/redirect/11900785/305" TargetMode="External"/><Relationship Id="rId51" Type="http://schemas.openxmlformats.org/officeDocument/2006/relationships/image" Target="media/image32.emf"/><Relationship Id="rId72" Type="http://schemas.openxmlformats.org/officeDocument/2006/relationships/image" Target="media/image53.emf"/><Relationship Id="rId93" Type="http://schemas.openxmlformats.org/officeDocument/2006/relationships/image" Target="media/image72.emf"/><Relationship Id="rId98" Type="http://schemas.openxmlformats.org/officeDocument/2006/relationships/image" Target="media/image77.emf"/><Relationship Id="rId121" Type="http://schemas.openxmlformats.org/officeDocument/2006/relationships/image" Target="media/image100.emf"/><Relationship Id="rId142" Type="http://schemas.openxmlformats.org/officeDocument/2006/relationships/image" Target="media/image121.emf"/><Relationship Id="rId3" Type="http://schemas.openxmlformats.org/officeDocument/2006/relationships/settings" Target="settings.xml"/><Relationship Id="rId25" Type="http://schemas.openxmlformats.org/officeDocument/2006/relationships/hyperlink" Target="https://internet.garant.ru/document/redirect/2321321/0" TargetMode="External"/><Relationship Id="rId46" Type="http://schemas.openxmlformats.org/officeDocument/2006/relationships/image" Target="media/image27.emf"/><Relationship Id="rId67" Type="http://schemas.openxmlformats.org/officeDocument/2006/relationships/image" Target="media/image48.emf"/><Relationship Id="rId116" Type="http://schemas.openxmlformats.org/officeDocument/2006/relationships/image" Target="media/image95.emf"/><Relationship Id="rId137" Type="http://schemas.openxmlformats.org/officeDocument/2006/relationships/image" Target="media/image116.emf"/><Relationship Id="rId20" Type="http://schemas.openxmlformats.org/officeDocument/2006/relationships/image" Target="media/image3.emf"/><Relationship Id="rId41" Type="http://schemas.openxmlformats.org/officeDocument/2006/relationships/image" Target="media/image22.emf"/><Relationship Id="rId62" Type="http://schemas.openxmlformats.org/officeDocument/2006/relationships/image" Target="media/image43.emf"/><Relationship Id="rId83" Type="http://schemas.openxmlformats.org/officeDocument/2006/relationships/image" Target="media/image62.emf"/><Relationship Id="rId88" Type="http://schemas.openxmlformats.org/officeDocument/2006/relationships/image" Target="media/image67.emf"/><Relationship Id="rId111" Type="http://schemas.openxmlformats.org/officeDocument/2006/relationships/image" Target="media/image90.emf"/><Relationship Id="rId132" Type="http://schemas.openxmlformats.org/officeDocument/2006/relationships/image" Target="media/image111.emf"/><Relationship Id="rId153" Type="http://schemas.openxmlformats.org/officeDocument/2006/relationships/footer" Target="footer1.xml"/><Relationship Id="rId15" Type="http://schemas.openxmlformats.org/officeDocument/2006/relationships/hyperlink" Target="https://internet.garant.ru/document/redirect/400156750/0" TargetMode="External"/><Relationship Id="rId36" Type="http://schemas.openxmlformats.org/officeDocument/2006/relationships/image" Target="media/image17.emf"/><Relationship Id="rId57" Type="http://schemas.openxmlformats.org/officeDocument/2006/relationships/image" Target="media/image38.emf"/><Relationship Id="rId106" Type="http://schemas.openxmlformats.org/officeDocument/2006/relationships/image" Target="media/image85.emf"/><Relationship Id="rId127" Type="http://schemas.openxmlformats.org/officeDocument/2006/relationships/image" Target="media/image106.emf"/><Relationship Id="rId10" Type="http://schemas.openxmlformats.org/officeDocument/2006/relationships/hyperlink" Target="https://internet.garant.ru/document/redirect/400128950/1000" TargetMode="External"/><Relationship Id="rId31" Type="http://schemas.openxmlformats.org/officeDocument/2006/relationships/image" Target="media/image12.emf"/><Relationship Id="rId52" Type="http://schemas.openxmlformats.org/officeDocument/2006/relationships/image" Target="media/image33.emf"/><Relationship Id="rId73" Type="http://schemas.openxmlformats.org/officeDocument/2006/relationships/hyperlink" Target="https://internet.garant.ru/document/redirect/70227424/0" TargetMode="External"/><Relationship Id="rId78" Type="http://schemas.openxmlformats.org/officeDocument/2006/relationships/image" Target="media/image57.emf"/><Relationship Id="rId94" Type="http://schemas.openxmlformats.org/officeDocument/2006/relationships/image" Target="media/image73.emf"/><Relationship Id="rId99" Type="http://schemas.openxmlformats.org/officeDocument/2006/relationships/image" Target="media/image78.emf"/><Relationship Id="rId101" Type="http://schemas.openxmlformats.org/officeDocument/2006/relationships/image" Target="media/image80.emf"/><Relationship Id="rId122" Type="http://schemas.openxmlformats.org/officeDocument/2006/relationships/image" Target="media/image101.emf"/><Relationship Id="rId143" Type="http://schemas.openxmlformats.org/officeDocument/2006/relationships/image" Target="media/image122.emf"/><Relationship Id="rId148" Type="http://schemas.openxmlformats.org/officeDocument/2006/relationships/image" Target="media/image127.emf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0298906/0" TargetMode="External"/><Relationship Id="rId26" Type="http://schemas.openxmlformats.org/officeDocument/2006/relationships/image" Target="media/image7.png"/><Relationship Id="rId47" Type="http://schemas.openxmlformats.org/officeDocument/2006/relationships/image" Target="media/image28.png"/><Relationship Id="rId68" Type="http://schemas.openxmlformats.org/officeDocument/2006/relationships/image" Target="media/image49.emf"/><Relationship Id="rId89" Type="http://schemas.openxmlformats.org/officeDocument/2006/relationships/image" Target="media/image68.emf"/><Relationship Id="rId112" Type="http://schemas.openxmlformats.org/officeDocument/2006/relationships/image" Target="media/image91.emf"/><Relationship Id="rId133" Type="http://schemas.openxmlformats.org/officeDocument/2006/relationships/image" Target="media/image112.emf"/><Relationship Id="rId154" Type="http://schemas.openxmlformats.org/officeDocument/2006/relationships/fontTable" Target="fontTable.xml"/><Relationship Id="rId16" Type="http://schemas.openxmlformats.org/officeDocument/2006/relationships/hyperlink" Target="https://internet.garant.ru/document/redirect/400113556/1000" TargetMode="External"/><Relationship Id="rId37" Type="http://schemas.openxmlformats.org/officeDocument/2006/relationships/image" Target="media/image18.emf"/><Relationship Id="rId58" Type="http://schemas.openxmlformats.org/officeDocument/2006/relationships/image" Target="media/image39.emf"/><Relationship Id="rId79" Type="http://schemas.openxmlformats.org/officeDocument/2006/relationships/image" Target="media/image58.emf"/><Relationship Id="rId102" Type="http://schemas.openxmlformats.org/officeDocument/2006/relationships/image" Target="media/image81.emf"/><Relationship Id="rId123" Type="http://schemas.openxmlformats.org/officeDocument/2006/relationships/image" Target="media/image102.emf"/><Relationship Id="rId144" Type="http://schemas.openxmlformats.org/officeDocument/2006/relationships/image" Target="media/image123.emf"/><Relationship Id="rId90" Type="http://schemas.openxmlformats.org/officeDocument/2006/relationships/image" Target="media/image6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13176</Words>
  <Characters>75104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Пуртов  Виктор Александрович</cp:lastModifiedBy>
  <cp:revision>2</cp:revision>
  <dcterms:created xsi:type="dcterms:W3CDTF">2024-12-24T06:52:00Z</dcterms:created>
  <dcterms:modified xsi:type="dcterms:W3CDTF">2024-12-24T06:52:00Z</dcterms:modified>
</cp:coreProperties>
</file>